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diagrams/data1.xml" ContentType="application/vnd.openxmlformats-officedocument.drawingml.diagramData+xml"/>
  <Override PartName="/word/diagrams/layout1.xml" ContentType="application/vnd.openxmlformats-officedocument.drawingml.diagramLayout+xml"/>
  <Override PartName="/word/diagrams/quickStyle1.xml" ContentType="application/vnd.openxmlformats-officedocument.drawingml.diagramStyle+xml"/>
  <Override PartName="/word/diagrams/colors1.xml" ContentType="application/vnd.openxmlformats-officedocument.drawingml.diagramColors+xml"/>
  <Override PartName="/word/diagrams/drawing1.xml" ContentType="application/vnd.ms-office.drawingml.diagramDrawing+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F50ABE" w:rsidRDefault="00F50ABE" w:rsidP="00F50ABE">
      <w:pPr>
        <w:rPr>
          <w:rFonts w:ascii="Arial" w:hAnsi="Arial" w:cs="Arial"/>
          <w:b/>
          <w:sz w:val="22"/>
          <w:szCs w:val="22"/>
        </w:rPr>
      </w:pPr>
      <w:bookmarkStart w:id="0" w:name="_GoBack"/>
      <w:bookmarkEnd w:id="0"/>
    </w:p>
    <w:tbl>
      <w:tblPr>
        <w:tblW w:w="5000" w:type="pct"/>
        <w:jc w:val="center"/>
        <w:tblLook w:val="04A0" w:firstRow="1" w:lastRow="0" w:firstColumn="1" w:lastColumn="0" w:noHBand="0" w:noVBand="1"/>
      </w:tblPr>
      <w:tblGrid>
        <w:gridCol w:w="9242"/>
      </w:tblGrid>
      <w:tr w:rsidR="00F50ABE" w:rsidTr="0076297C">
        <w:trPr>
          <w:trHeight w:val="1024"/>
          <w:jc w:val="center"/>
        </w:trPr>
        <w:tc>
          <w:tcPr>
            <w:tcW w:w="5000" w:type="pct"/>
          </w:tcPr>
          <w:p w:rsidR="00F50ABE" w:rsidRDefault="00F50ABE" w:rsidP="00F50ABE">
            <w:pPr>
              <w:pStyle w:val="NoSpacing"/>
              <w:jc w:val="center"/>
              <w:rPr>
                <w:rFonts w:asciiTheme="majorHAnsi" w:eastAsiaTheme="majorEastAsia" w:hAnsiTheme="majorHAnsi" w:cstheme="majorBidi"/>
                <w:caps/>
              </w:rPr>
            </w:pPr>
            <w:r>
              <w:rPr>
                <w:rFonts w:ascii="Arial" w:hAnsi="Arial" w:cs="Arial"/>
                <w:b/>
              </w:rPr>
              <w:br w:type="page"/>
            </w:r>
            <w:sdt>
              <w:sdtPr>
                <w:rPr>
                  <w:rFonts w:asciiTheme="majorHAnsi" w:eastAsiaTheme="majorEastAsia" w:hAnsiTheme="majorHAnsi" w:cstheme="majorBidi"/>
                  <w:caps/>
                </w:rPr>
                <w:alias w:val="Company"/>
                <w:id w:val="15524243"/>
                <w:placeholder>
                  <w:docPart w:val="8E86649130964A9BB1566DAA5FE8767E"/>
                </w:placeholder>
                <w:dataBinding w:prefixMappings="xmlns:ns0='http://schemas.openxmlformats.org/officeDocument/2006/extended-properties'" w:xpath="/ns0:Properties[1]/ns0:Company[1]" w:storeItemID="{6668398D-A668-4E3E-A5EB-62B293D839F1}"/>
                <w:text/>
              </w:sdtPr>
              <w:sdtEndPr/>
              <w:sdtContent>
                <w:r>
                  <w:rPr>
                    <w:rFonts w:asciiTheme="majorHAnsi" w:eastAsiaTheme="majorEastAsia" w:hAnsiTheme="majorHAnsi" w:cstheme="majorBidi"/>
                    <w:caps/>
                  </w:rPr>
                  <w:t>Protagoras forensic services &amp; interventions ltd.</w:t>
                </w:r>
              </w:sdtContent>
            </w:sdt>
          </w:p>
        </w:tc>
      </w:tr>
      <w:tr w:rsidR="00F50ABE" w:rsidTr="00572610">
        <w:trPr>
          <w:trHeight w:val="1440"/>
          <w:jc w:val="center"/>
        </w:trPr>
        <w:sdt>
          <w:sdtPr>
            <w:rPr>
              <w:rFonts w:asciiTheme="majorHAnsi" w:eastAsiaTheme="majorEastAsia" w:hAnsiTheme="majorHAnsi" w:cstheme="majorBidi"/>
              <w:sz w:val="80"/>
              <w:szCs w:val="80"/>
            </w:rPr>
            <w:alias w:val="Title"/>
            <w:id w:val="15524250"/>
            <w:placeholder>
              <w:docPart w:val="E5D83DFE8DB143E4855BE07EBE48501D"/>
            </w:placeholder>
            <w:dataBinding w:prefixMappings="xmlns:ns0='http://schemas.openxmlformats.org/package/2006/metadata/core-properties' xmlns:ns1='http://purl.org/dc/elements/1.1/'" w:xpath="/ns0:coreProperties[1]/ns1:title[1]" w:storeItemID="{6C3C8BC8-F283-45AE-878A-BAB7291924A1}"/>
            <w:text/>
          </w:sdtPr>
          <w:sdtEndPr/>
          <w:sdtContent>
            <w:tc>
              <w:tcPr>
                <w:tcW w:w="5000" w:type="pct"/>
                <w:tcBorders>
                  <w:bottom w:val="single" w:sz="4" w:space="0" w:color="4F81BD" w:themeColor="accent1"/>
                </w:tcBorders>
                <w:vAlign w:val="center"/>
              </w:tcPr>
              <w:p w:rsidR="00F50ABE" w:rsidRDefault="00F50ABE" w:rsidP="00F50ABE">
                <w:pPr>
                  <w:pStyle w:val="NoSpacing"/>
                  <w:jc w:val="center"/>
                  <w:rPr>
                    <w:rFonts w:asciiTheme="majorHAnsi" w:eastAsiaTheme="majorEastAsia" w:hAnsiTheme="majorHAnsi" w:cstheme="majorBidi"/>
                    <w:sz w:val="80"/>
                    <w:szCs w:val="80"/>
                  </w:rPr>
                </w:pPr>
                <w:r>
                  <w:rPr>
                    <w:rFonts w:asciiTheme="majorHAnsi" w:eastAsiaTheme="majorEastAsia" w:hAnsiTheme="majorHAnsi" w:cstheme="majorBidi"/>
                    <w:sz w:val="80"/>
                    <w:szCs w:val="80"/>
                  </w:rPr>
                  <w:t xml:space="preserve">Healthy Relationship </w:t>
                </w:r>
                <w:proofErr w:type="spellStart"/>
                <w:r>
                  <w:rPr>
                    <w:rFonts w:asciiTheme="majorHAnsi" w:eastAsiaTheme="majorEastAsia" w:hAnsiTheme="majorHAnsi" w:cstheme="majorBidi"/>
                    <w:sz w:val="80"/>
                    <w:szCs w:val="80"/>
                  </w:rPr>
                  <w:t>Programmes</w:t>
                </w:r>
                <w:proofErr w:type="spellEnd"/>
                <w:r>
                  <w:rPr>
                    <w:rFonts w:asciiTheme="majorHAnsi" w:eastAsiaTheme="majorEastAsia" w:hAnsiTheme="majorHAnsi" w:cstheme="majorBidi"/>
                    <w:sz w:val="80"/>
                    <w:szCs w:val="80"/>
                  </w:rPr>
                  <w:t xml:space="preserve"> for C/YP:</w:t>
                </w:r>
              </w:p>
            </w:tc>
          </w:sdtContent>
        </w:sdt>
      </w:tr>
      <w:tr w:rsidR="00F50ABE" w:rsidTr="00572610">
        <w:trPr>
          <w:trHeight w:val="720"/>
          <w:jc w:val="center"/>
        </w:trPr>
        <w:sdt>
          <w:sdtPr>
            <w:rPr>
              <w:rFonts w:asciiTheme="majorHAnsi" w:eastAsiaTheme="majorEastAsia" w:hAnsiTheme="majorHAnsi" w:cstheme="majorBidi"/>
              <w:sz w:val="44"/>
              <w:szCs w:val="44"/>
            </w:rPr>
            <w:alias w:val="Subtitle"/>
            <w:id w:val="15524255"/>
            <w:placeholder>
              <w:docPart w:val="92F6A1D763674A26B3EA75579BD2D703"/>
            </w:placeholder>
            <w:dataBinding w:prefixMappings="xmlns:ns0='http://schemas.openxmlformats.org/package/2006/metadata/core-properties' xmlns:ns1='http://purl.org/dc/elements/1.1/'" w:xpath="/ns0:coreProperties[1]/ns1:subject[1]" w:storeItemID="{6C3C8BC8-F283-45AE-878A-BAB7291924A1}"/>
            <w:text/>
          </w:sdtPr>
          <w:sdtEndPr/>
          <w:sdtContent>
            <w:tc>
              <w:tcPr>
                <w:tcW w:w="5000" w:type="pct"/>
                <w:tcBorders>
                  <w:top w:val="single" w:sz="4" w:space="0" w:color="4F81BD" w:themeColor="accent1"/>
                </w:tcBorders>
                <w:vAlign w:val="center"/>
              </w:tcPr>
              <w:p w:rsidR="00F50ABE" w:rsidRDefault="00F50ABE" w:rsidP="00F50ABE">
                <w:pPr>
                  <w:pStyle w:val="NoSpacing"/>
                  <w:jc w:val="center"/>
                  <w:rPr>
                    <w:rFonts w:asciiTheme="majorHAnsi" w:eastAsiaTheme="majorEastAsia" w:hAnsiTheme="majorHAnsi" w:cstheme="majorBidi"/>
                    <w:sz w:val="44"/>
                    <w:szCs w:val="44"/>
                  </w:rPr>
                </w:pPr>
                <w:r>
                  <w:rPr>
                    <w:rFonts w:asciiTheme="majorHAnsi" w:eastAsiaTheme="majorEastAsia" w:hAnsiTheme="majorHAnsi" w:cstheme="majorBidi"/>
                    <w:sz w:val="44"/>
                    <w:szCs w:val="44"/>
                  </w:rPr>
                  <w:t>Changing Places &amp; Acorns</w:t>
                </w:r>
              </w:p>
            </w:tc>
          </w:sdtContent>
        </w:sdt>
      </w:tr>
      <w:tr w:rsidR="00F50ABE" w:rsidTr="00572610">
        <w:trPr>
          <w:trHeight w:val="360"/>
          <w:jc w:val="center"/>
        </w:trPr>
        <w:tc>
          <w:tcPr>
            <w:tcW w:w="5000" w:type="pct"/>
            <w:vAlign w:val="center"/>
          </w:tcPr>
          <w:p w:rsidR="00F50ABE" w:rsidRDefault="00F50ABE" w:rsidP="00572610">
            <w:pPr>
              <w:pStyle w:val="NoSpacing"/>
              <w:jc w:val="center"/>
            </w:pPr>
          </w:p>
        </w:tc>
      </w:tr>
      <w:tr w:rsidR="00F50ABE" w:rsidTr="00572610">
        <w:trPr>
          <w:trHeight w:val="360"/>
          <w:jc w:val="center"/>
        </w:trPr>
        <w:sdt>
          <w:sdtPr>
            <w:rPr>
              <w:b/>
              <w:bCs/>
            </w:rPr>
            <w:alias w:val="Author"/>
            <w:id w:val="15524260"/>
            <w:placeholder>
              <w:docPart w:val="50B3A954310D44D2A5AA771EEF43947E"/>
            </w:placeholder>
            <w:dataBinding w:prefixMappings="xmlns:ns0='http://schemas.openxmlformats.org/package/2006/metadata/core-properties' xmlns:ns1='http://purl.org/dc/elements/1.1/'" w:xpath="/ns0:coreProperties[1]/ns1:creator[1]" w:storeItemID="{6C3C8BC8-F283-45AE-878A-BAB7291924A1}"/>
            <w:text/>
          </w:sdtPr>
          <w:sdtEndPr/>
          <w:sdtContent>
            <w:tc>
              <w:tcPr>
                <w:tcW w:w="5000" w:type="pct"/>
                <w:vAlign w:val="center"/>
              </w:tcPr>
              <w:p w:rsidR="00F50ABE" w:rsidRDefault="00F50ABE" w:rsidP="00F50ABE">
                <w:pPr>
                  <w:pStyle w:val="NoSpacing"/>
                  <w:jc w:val="center"/>
                  <w:rPr>
                    <w:b/>
                    <w:bCs/>
                  </w:rPr>
                </w:pPr>
                <w:r>
                  <w:rPr>
                    <w:b/>
                    <w:bCs/>
                  </w:rPr>
                  <w:t>Emily Alison</w:t>
                </w:r>
              </w:p>
            </w:tc>
          </w:sdtContent>
        </w:sdt>
      </w:tr>
      <w:tr w:rsidR="00F50ABE" w:rsidTr="00572610">
        <w:trPr>
          <w:trHeight w:val="360"/>
          <w:jc w:val="center"/>
        </w:trPr>
        <w:tc>
          <w:tcPr>
            <w:tcW w:w="5000" w:type="pct"/>
            <w:vAlign w:val="center"/>
          </w:tcPr>
          <w:p w:rsidR="00F50ABE" w:rsidRDefault="00F50ABE" w:rsidP="00572610">
            <w:pPr>
              <w:pStyle w:val="NoSpacing"/>
              <w:jc w:val="center"/>
              <w:rPr>
                <w:b/>
                <w:bCs/>
              </w:rPr>
            </w:pPr>
            <w:r>
              <w:rPr>
                <w:b/>
                <w:bCs/>
              </w:rPr>
              <w:t>07773206660</w:t>
            </w:r>
          </w:p>
          <w:p w:rsidR="00F50ABE" w:rsidRDefault="00683CEA" w:rsidP="00572610">
            <w:pPr>
              <w:pStyle w:val="NoSpacing"/>
              <w:jc w:val="center"/>
              <w:rPr>
                <w:b/>
                <w:bCs/>
              </w:rPr>
            </w:pPr>
            <w:hyperlink r:id="rId6" w:history="1">
              <w:r w:rsidR="00F50ABE" w:rsidRPr="00983CBF">
                <w:rPr>
                  <w:rStyle w:val="Hyperlink"/>
                  <w:b/>
                  <w:bCs/>
                </w:rPr>
                <w:t>alisone638@sky.com</w:t>
              </w:r>
            </w:hyperlink>
          </w:p>
          <w:p w:rsidR="00F50ABE" w:rsidRDefault="00F50ABE" w:rsidP="00572610">
            <w:pPr>
              <w:pStyle w:val="NoSpacing"/>
              <w:jc w:val="center"/>
              <w:rPr>
                <w:b/>
                <w:bCs/>
              </w:rPr>
            </w:pPr>
          </w:p>
          <w:p w:rsidR="00F50ABE" w:rsidRDefault="00F50ABE" w:rsidP="00572610">
            <w:pPr>
              <w:pStyle w:val="NoSpacing"/>
              <w:jc w:val="center"/>
              <w:rPr>
                <w:b/>
                <w:bCs/>
              </w:rPr>
            </w:pPr>
          </w:p>
        </w:tc>
      </w:tr>
    </w:tbl>
    <w:p w:rsidR="00F50ABE" w:rsidRDefault="00F50ABE">
      <w:pPr>
        <w:spacing w:after="200" w:line="276" w:lineRule="auto"/>
        <w:rPr>
          <w:rFonts w:ascii="Arial" w:hAnsi="Arial" w:cs="Arial"/>
          <w:b/>
          <w:sz w:val="22"/>
          <w:szCs w:val="22"/>
        </w:rPr>
      </w:pPr>
    </w:p>
    <w:p w:rsidR="00F50ABE" w:rsidRPr="00A4466B" w:rsidRDefault="00F50ABE" w:rsidP="00F50ABE">
      <w:pPr>
        <w:rPr>
          <w:rFonts w:ascii="Arial" w:hAnsi="Arial" w:cs="Arial"/>
          <w:b/>
          <w:sz w:val="22"/>
          <w:szCs w:val="22"/>
        </w:rPr>
      </w:pPr>
      <w:proofErr w:type="gramStart"/>
      <w:r>
        <w:rPr>
          <w:rFonts w:ascii="Arial" w:hAnsi="Arial" w:cs="Arial"/>
          <w:b/>
          <w:sz w:val="22"/>
          <w:szCs w:val="22"/>
        </w:rPr>
        <w:t xml:space="preserve">1  </w:t>
      </w:r>
      <w:r w:rsidRPr="00A4466B">
        <w:rPr>
          <w:rFonts w:ascii="Arial" w:hAnsi="Arial" w:cs="Arial"/>
          <w:b/>
          <w:sz w:val="22"/>
          <w:szCs w:val="22"/>
        </w:rPr>
        <w:t>PROGRAMME</w:t>
      </w:r>
      <w:proofErr w:type="gramEnd"/>
      <w:r w:rsidRPr="00A4466B">
        <w:rPr>
          <w:rFonts w:ascii="Arial" w:hAnsi="Arial" w:cs="Arial"/>
          <w:b/>
          <w:sz w:val="22"/>
          <w:szCs w:val="22"/>
        </w:rPr>
        <w:t xml:space="preserve"> OVERVIEW</w:t>
      </w:r>
    </w:p>
    <w:p w:rsidR="00F50ABE" w:rsidRDefault="00F50ABE" w:rsidP="00F50ABE">
      <w:pPr>
        <w:rPr>
          <w:rFonts w:ascii="Arial" w:hAnsi="Arial" w:cs="Arial"/>
          <w:sz w:val="22"/>
          <w:szCs w:val="22"/>
        </w:rPr>
      </w:pPr>
    </w:p>
    <w:p w:rsidR="00F50ABE" w:rsidRDefault="00F50ABE" w:rsidP="00F50ABE">
      <w:pPr>
        <w:rPr>
          <w:rFonts w:ascii="Arial" w:hAnsi="Arial" w:cs="Arial"/>
          <w:sz w:val="22"/>
          <w:szCs w:val="22"/>
        </w:rPr>
      </w:pPr>
      <w:r>
        <w:rPr>
          <w:rFonts w:ascii="Arial" w:hAnsi="Arial" w:cs="Arial"/>
          <w:sz w:val="22"/>
          <w:szCs w:val="22"/>
        </w:rPr>
        <w:t>The Changing Places programme has been delivered since 2003 by a wide range of agencies across the UK, including social care teams, family centres, education, and Youth Offending Services.  It has been featured in the YJB newsletter as an example of outstanding practice for Cheshire East YOS and was highly rated by OFSTED during the recent review of Blackburn YOS.  It is one of the most well-established and longest running youth programmes in the country, specifically designed to address harm in relationships.</w:t>
      </w:r>
    </w:p>
    <w:p w:rsidR="00F50ABE" w:rsidRDefault="00F50ABE" w:rsidP="00F50ABE">
      <w:pPr>
        <w:rPr>
          <w:rFonts w:ascii="Arial" w:hAnsi="Arial" w:cs="Arial"/>
          <w:sz w:val="22"/>
          <w:szCs w:val="22"/>
        </w:rPr>
      </w:pPr>
    </w:p>
    <w:p w:rsidR="00F50ABE" w:rsidRPr="00874980" w:rsidRDefault="00F50ABE" w:rsidP="00F50ABE">
      <w:pPr>
        <w:rPr>
          <w:rFonts w:ascii="Arial" w:hAnsi="Arial" w:cs="Arial"/>
          <w:b/>
          <w:sz w:val="22"/>
          <w:szCs w:val="22"/>
        </w:rPr>
      </w:pPr>
      <w:proofErr w:type="gramStart"/>
      <w:r>
        <w:rPr>
          <w:rFonts w:ascii="Arial" w:hAnsi="Arial" w:cs="Arial"/>
          <w:b/>
          <w:sz w:val="22"/>
          <w:szCs w:val="22"/>
        </w:rPr>
        <w:t>2  TARGETING</w:t>
      </w:r>
      <w:proofErr w:type="gramEnd"/>
      <w:r>
        <w:rPr>
          <w:rFonts w:ascii="Arial" w:hAnsi="Arial" w:cs="Arial"/>
          <w:b/>
          <w:sz w:val="22"/>
          <w:szCs w:val="22"/>
        </w:rPr>
        <w:t xml:space="preserve"> AND ASSESSMENT</w:t>
      </w:r>
    </w:p>
    <w:p w:rsidR="00F50ABE" w:rsidRDefault="00F50ABE" w:rsidP="00F50ABE">
      <w:pPr>
        <w:rPr>
          <w:rFonts w:ascii="Arial" w:hAnsi="Arial" w:cs="Arial"/>
          <w:sz w:val="22"/>
          <w:szCs w:val="22"/>
        </w:rPr>
      </w:pPr>
    </w:p>
    <w:p w:rsidR="00F50ABE" w:rsidRDefault="00F50ABE" w:rsidP="00F50ABE">
      <w:pPr>
        <w:rPr>
          <w:rFonts w:ascii="Arial" w:hAnsi="Arial" w:cs="Arial"/>
          <w:sz w:val="22"/>
          <w:szCs w:val="22"/>
        </w:rPr>
      </w:pPr>
      <w:r w:rsidRPr="00E375C0">
        <w:rPr>
          <w:rFonts w:ascii="Arial" w:hAnsi="Arial" w:cs="Arial"/>
          <w:sz w:val="22"/>
          <w:szCs w:val="22"/>
        </w:rPr>
        <w:t xml:space="preserve">The Changing Places programme has been developed as a resource pack for agencies that work with young people (age </w:t>
      </w:r>
      <w:r>
        <w:rPr>
          <w:rFonts w:ascii="Arial" w:hAnsi="Arial" w:cs="Arial"/>
          <w:sz w:val="22"/>
          <w:szCs w:val="22"/>
        </w:rPr>
        <w:t>13-19</w:t>
      </w:r>
      <w:r w:rsidRPr="00E375C0">
        <w:rPr>
          <w:rFonts w:ascii="Arial" w:hAnsi="Arial" w:cs="Arial"/>
          <w:sz w:val="22"/>
          <w:szCs w:val="22"/>
        </w:rPr>
        <w:t>) who need help managing conflict</w:t>
      </w:r>
      <w:r>
        <w:rPr>
          <w:rFonts w:ascii="Arial" w:hAnsi="Arial" w:cs="Arial"/>
          <w:sz w:val="22"/>
          <w:szCs w:val="22"/>
        </w:rPr>
        <w:t xml:space="preserve">. There is an additional option to incorporate the Acorns programme (age 8-13) for use with younger participants.  The programmes include a targeting framework, the RFAB (Risk of Future Abusive Behaviour) to assist in profiling the needs of participants and avoiding contamination across risk categories.  This has been drawn from the empirical literature on known characteristics shared by adult domestic abuse perpetrators. </w:t>
      </w:r>
    </w:p>
    <w:p w:rsidR="00F50ABE" w:rsidRDefault="00F50ABE" w:rsidP="00F50ABE">
      <w:pPr>
        <w:rPr>
          <w:rFonts w:ascii="Arial" w:hAnsi="Arial" w:cs="Arial"/>
          <w:sz w:val="22"/>
          <w:szCs w:val="22"/>
        </w:rPr>
      </w:pPr>
    </w:p>
    <w:p w:rsidR="00F50ABE" w:rsidRPr="001936FC" w:rsidRDefault="00F50ABE" w:rsidP="00F50ABE">
      <w:pPr>
        <w:rPr>
          <w:rFonts w:ascii="Arial" w:hAnsi="Arial" w:cs="Arial"/>
          <w:b/>
          <w:sz w:val="22"/>
          <w:szCs w:val="22"/>
        </w:rPr>
      </w:pPr>
      <w:proofErr w:type="gramStart"/>
      <w:r>
        <w:rPr>
          <w:rFonts w:ascii="Arial" w:hAnsi="Arial" w:cs="Arial"/>
          <w:b/>
          <w:sz w:val="22"/>
          <w:szCs w:val="22"/>
        </w:rPr>
        <w:t>3  OUTCOME</w:t>
      </w:r>
      <w:proofErr w:type="gramEnd"/>
      <w:r>
        <w:rPr>
          <w:rFonts w:ascii="Arial" w:hAnsi="Arial" w:cs="Arial"/>
          <w:b/>
          <w:sz w:val="22"/>
          <w:szCs w:val="22"/>
        </w:rPr>
        <w:t xml:space="preserve"> EVALUATION</w:t>
      </w:r>
    </w:p>
    <w:p w:rsidR="00F50ABE" w:rsidRDefault="00F50ABE" w:rsidP="00F50ABE">
      <w:pPr>
        <w:rPr>
          <w:rFonts w:ascii="Arial" w:hAnsi="Arial" w:cs="Arial"/>
          <w:sz w:val="22"/>
          <w:szCs w:val="22"/>
        </w:rPr>
      </w:pPr>
    </w:p>
    <w:p w:rsidR="00F50ABE" w:rsidRPr="00421CAF" w:rsidRDefault="00F50ABE" w:rsidP="00F50ABE">
      <w:pPr>
        <w:rPr>
          <w:rFonts w:ascii="Arial" w:hAnsi="Arial" w:cs="Arial"/>
          <w:b/>
          <w:sz w:val="22"/>
          <w:szCs w:val="22"/>
        </w:rPr>
      </w:pPr>
      <w:r>
        <w:rPr>
          <w:rFonts w:ascii="Arial" w:hAnsi="Arial" w:cs="Arial"/>
          <w:b/>
          <w:sz w:val="22"/>
          <w:szCs w:val="22"/>
        </w:rPr>
        <w:t>3.1 Soft Outcome Measures</w:t>
      </w:r>
    </w:p>
    <w:p w:rsidR="00F50ABE" w:rsidRDefault="00F50ABE" w:rsidP="00F50ABE">
      <w:pPr>
        <w:rPr>
          <w:rFonts w:ascii="Arial" w:hAnsi="Arial" w:cs="Arial"/>
          <w:sz w:val="22"/>
          <w:szCs w:val="22"/>
        </w:rPr>
      </w:pPr>
      <w:r>
        <w:rPr>
          <w:rFonts w:ascii="Arial" w:hAnsi="Arial" w:cs="Arial"/>
          <w:sz w:val="22"/>
          <w:szCs w:val="22"/>
        </w:rPr>
        <w:t xml:space="preserve">The programme also contains a range of psychometric measures to support pre and post evaluation, including: </w:t>
      </w:r>
    </w:p>
    <w:p w:rsidR="00F50ABE" w:rsidRDefault="00F50ABE" w:rsidP="00F50ABE">
      <w:pPr>
        <w:pStyle w:val="ListParagraph"/>
        <w:numPr>
          <w:ilvl w:val="0"/>
          <w:numId w:val="1"/>
        </w:numPr>
        <w:rPr>
          <w:rFonts w:ascii="Arial" w:hAnsi="Arial" w:cs="Arial"/>
          <w:sz w:val="22"/>
          <w:szCs w:val="22"/>
        </w:rPr>
      </w:pPr>
      <w:r>
        <w:rPr>
          <w:rFonts w:ascii="Arial" w:hAnsi="Arial" w:cs="Arial"/>
          <w:sz w:val="22"/>
          <w:szCs w:val="22"/>
        </w:rPr>
        <w:t>SDQ- Goodman’s Strengths and Difficulties Questionnaire</w:t>
      </w:r>
    </w:p>
    <w:p w:rsidR="00F50ABE" w:rsidRDefault="00F50ABE" w:rsidP="00F50ABE">
      <w:pPr>
        <w:pStyle w:val="ListParagraph"/>
        <w:numPr>
          <w:ilvl w:val="1"/>
          <w:numId w:val="1"/>
        </w:numPr>
        <w:rPr>
          <w:rFonts w:ascii="Arial" w:hAnsi="Arial" w:cs="Arial"/>
          <w:sz w:val="22"/>
          <w:szCs w:val="22"/>
        </w:rPr>
      </w:pPr>
      <w:r>
        <w:rPr>
          <w:rFonts w:ascii="Arial" w:hAnsi="Arial" w:cs="Arial"/>
          <w:sz w:val="22"/>
          <w:szCs w:val="22"/>
        </w:rPr>
        <w:t>Behavioural screening questionnaire designed to evaluate change across five different aspects (Hyperactivity, Peer Problems, Emotional Problems, Conduct Problems, and Pro-social behaviour); it can be completed directly by the YP and supported by assessment by teachers or parents</w:t>
      </w:r>
    </w:p>
    <w:p w:rsidR="00F50ABE" w:rsidRDefault="00F50ABE" w:rsidP="00F50ABE">
      <w:pPr>
        <w:pStyle w:val="ListParagraph"/>
        <w:numPr>
          <w:ilvl w:val="0"/>
          <w:numId w:val="1"/>
        </w:numPr>
        <w:rPr>
          <w:rFonts w:ascii="Arial" w:hAnsi="Arial" w:cs="Arial"/>
          <w:sz w:val="22"/>
          <w:szCs w:val="22"/>
        </w:rPr>
      </w:pPr>
      <w:r>
        <w:rPr>
          <w:rFonts w:ascii="Arial" w:hAnsi="Arial" w:cs="Arial"/>
          <w:sz w:val="22"/>
          <w:szCs w:val="22"/>
        </w:rPr>
        <w:t>CORE-OM- Clinical Outcomes in Routine Evaluation</w:t>
      </w:r>
    </w:p>
    <w:p w:rsidR="00F50ABE" w:rsidRDefault="00F50ABE" w:rsidP="00F50ABE">
      <w:pPr>
        <w:pStyle w:val="ListParagraph"/>
        <w:numPr>
          <w:ilvl w:val="1"/>
          <w:numId w:val="1"/>
        </w:numPr>
        <w:rPr>
          <w:rFonts w:ascii="Arial" w:hAnsi="Arial" w:cs="Arial"/>
          <w:sz w:val="22"/>
          <w:szCs w:val="22"/>
        </w:rPr>
      </w:pPr>
      <w:r w:rsidRPr="00764D82">
        <w:rPr>
          <w:rFonts w:ascii="Arial" w:hAnsi="Arial" w:cs="Arial"/>
          <w:sz w:val="22"/>
          <w:szCs w:val="22"/>
        </w:rPr>
        <w:lastRenderedPageBreak/>
        <w:t xml:space="preserve">Client self-report questionnaire designed to be administered before and after therapy to determine impact across four scales to establish a measure of </w:t>
      </w:r>
      <w:r>
        <w:rPr>
          <w:rFonts w:ascii="Arial" w:hAnsi="Arial" w:cs="Arial"/>
          <w:sz w:val="22"/>
          <w:szCs w:val="22"/>
        </w:rPr>
        <w:t xml:space="preserve">emotional and </w:t>
      </w:r>
      <w:r w:rsidRPr="00764D82">
        <w:rPr>
          <w:rFonts w:ascii="Arial" w:hAnsi="Arial" w:cs="Arial"/>
          <w:sz w:val="22"/>
          <w:szCs w:val="22"/>
        </w:rPr>
        <w:t>psychological well-being (Subjective well-being; Problems/symptoms; Life functioning</w:t>
      </w:r>
      <w:r>
        <w:rPr>
          <w:rFonts w:ascii="Arial" w:hAnsi="Arial" w:cs="Arial"/>
          <w:sz w:val="22"/>
          <w:szCs w:val="22"/>
        </w:rPr>
        <w:t xml:space="preserve">, </w:t>
      </w:r>
      <w:r w:rsidRPr="00764D82">
        <w:rPr>
          <w:rFonts w:ascii="Arial" w:hAnsi="Arial" w:cs="Arial"/>
          <w:sz w:val="22"/>
          <w:szCs w:val="22"/>
        </w:rPr>
        <w:t>Risk/harm</w:t>
      </w:r>
      <w:r>
        <w:rPr>
          <w:rFonts w:ascii="Arial" w:hAnsi="Arial" w:cs="Arial"/>
          <w:sz w:val="22"/>
          <w:szCs w:val="22"/>
        </w:rPr>
        <w:t>).</w:t>
      </w:r>
    </w:p>
    <w:p w:rsidR="00F50ABE" w:rsidRDefault="00F50ABE" w:rsidP="00F50ABE">
      <w:pPr>
        <w:pStyle w:val="ListParagraph"/>
        <w:numPr>
          <w:ilvl w:val="1"/>
          <w:numId w:val="1"/>
        </w:numPr>
        <w:rPr>
          <w:rFonts w:ascii="Arial" w:hAnsi="Arial" w:cs="Arial"/>
          <w:sz w:val="22"/>
          <w:szCs w:val="22"/>
        </w:rPr>
      </w:pPr>
      <w:r>
        <w:rPr>
          <w:rFonts w:ascii="Arial" w:hAnsi="Arial" w:cs="Arial"/>
          <w:sz w:val="22"/>
          <w:szCs w:val="22"/>
        </w:rPr>
        <w:t>There are both adult and YP specific versions for this measure, allowing it to capture well-being outcomes for both YP and their parents/ carers pre and post programme.</w:t>
      </w:r>
    </w:p>
    <w:p w:rsidR="00F50ABE" w:rsidRDefault="00F50ABE" w:rsidP="00F50ABE">
      <w:pPr>
        <w:pStyle w:val="ListParagraph"/>
        <w:numPr>
          <w:ilvl w:val="0"/>
          <w:numId w:val="1"/>
        </w:numPr>
        <w:rPr>
          <w:rFonts w:ascii="Arial" w:hAnsi="Arial" w:cs="Arial"/>
          <w:sz w:val="22"/>
          <w:szCs w:val="22"/>
        </w:rPr>
      </w:pPr>
      <w:r w:rsidRPr="00764D82">
        <w:rPr>
          <w:rFonts w:ascii="Arial" w:hAnsi="Arial" w:cs="Arial"/>
          <w:sz w:val="22"/>
          <w:szCs w:val="22"/>
        </w:rPr>
        <w:t xml:space="preserve">MES- Mating Effort Scale </w:t>
      </w:r>
      <w:r>
        <w:rPr>
          <w:rFonts w:ascii="Arial" w:hAnsi="Arial" w:cs="Arial"/>
          <w:sz w:val="22"/>
          <w:szCs w:val="22"/>
        </w:rPr>
        <w:t>(age 13 and up)</w:t>
      </w:r>
    </w:p>
    <w:p w:rsidR="00F50ABE" w:rsidRDefault="00F50ABE" w:rsidP="00F50ABE">
      <w:pPr>
        <w:pStyle w:val="ListParagraph"/>
        <w:numPr>
          <w:ilvl w:val="1"/>
          <w:numId w:val="1"/>
        </w:numPr>
        <w:rPr>
          <w:rFonts w:ascii="Arial" w:hAnsi="Arial" w:cs="Arial"/>
          <w:sz w:val="22"/>
          <w:szCs w:val="22"/>
        </w:rPr>
      </w:pPr>
      <w:r>
        <w:rPr>
          <w:rFonts w:ascii="Arial" w:hAnsi="Arial" w:cs="Arial"/>
          <w:sz w:val="22"/>
          <w:szCs w:val="22"/>
        </w:rPr>
        <w:t>Provides measure along a continuum of sexual competition and nurturing</w:t>
      </w:r>
      <w:r w:rsidRPr="00764D82">
        <w:rPr>
          <w:rFonts w:ascii="Arial" w:hAnsi="Arial" w:cs="Arial"/>
          <w:sz w:val="22"/>
          <w:szCs w:val="22"/>
        </w:rPr>
        <w:t>. High scores have been significantly correlated with delinquency, promiscuity, violence and coercive sexual behaviour</w:t>
      </w:r>
      <w:r>
        <w:rPr>
          <w:rFonts w:ascii="Arial" w:hAnsi="Arial" w:cs="Arial"/>
          <w:sz w:val="22"/>
          <w:szCs w:val="22"/>
        </w:rPr>
        <w:t xml:space="preserve"> within adult relationships</w:t>
      </w:r>
      <w:r w:rsidRPr="00764D82">
        <w:rPr>
          <w:rFonts w:ascii="Arial" w:hAnsi="Arial" w:cs="Arial"/>
          <w:sz w:val="22"/>
          <w:szCs w:val="22"/>
        </w:rPr>
        <w:t>.</w:t>
      </w:r>
      <w:r>
        <w:rPr>
          <w:rFonts w:ascii="Arial" w:hAnsi="Arial" w:cs="Arial"/>
          <w:sz w:val="22"/>
          <w:szCs w:val="22"/>
        </w:rPr>
        <w:t xml:space="preserve">  Lower scores predict stable, nurturing relationships in the future.  </w:t>
      </w:r>
    </w:p>
    <w:p w:rsidR="00F50ABE" w:rsidRPr="001936FC" w:rsidRDefault="00F50ABE" w:rsidP="00F50ABE">
      <w:pPr>
        <w:pStyle w:val="ListParagraph"/>
        <w:numPr>
          <w:ilvl w:val="1"/>
          <w:numId w:val="1"/>
        </w:numPr>
        <w:rPr>
          <w:rFonts w:ascii="Arial" w:hAnsi="Arial" w:cs="Arial"/>
          <w:sz w:val="22"/>
          <w:szCs w:val="22"/>
        </w:rPr>
      </w:pPr>
      <w:r>
        <w:rPr>
          <w:rFonts w:ascii="Arial" w:hAnsi="Arial" w:cs="Arial"/>
          <w:sz w:val="22"/>
          <w:szCs w:val="22"/>
        </w:rPr>
        <w:t>This measure has been extremely well-validated in both the US and UK across a range of populations.  It includes versions for heterosexual and same gender relationships.</w:t>
      </w:r>
    </w:p>
    <w:p w:rsidR="00F50ABE" w:rsidRDefault="00F50ABE" w:rsidP="00F50ABE">
      <w:pPr>
        <w:pStyle w:val="ListParagraph"/>
        <w:numPr>
          <w:ilvl w:val="0"/>
          <w:numId w:val="1"/>
        </w:numPr>
        <w:rPr>
          <w:rFonts w:ascii="Arial" w:hAnsi="Arial" w:cs="Arial"/>
          <w:sz w:val="22"/>
          <w:szCs w:val="22"/>
        </w:rPr>
      </w:pPr>
      <w:r>
        <w:rPr>
          <w:rFonts w:ascii="Arial" w:hAnsi="Arial" w:cs="Arial"/>
          <w:sz w:val="22"/>
          <w:szCs w:val="22"/>
        </w:rPr>
        <w:t>CDC YP Resource Pack- includes brief age-specific measures around attitudes toward violence, self-esteem, anger levels, and conflict resolution skills.</w:t>
      </w:r>
    </w:p>
    <w:p w:rsidR="00F50ABE" w:rsidRDefault="00F50ABE" w:rsidP="00F50ABE">
      <w:pPr>
        <w:pStyle w:val="ListParagraph"/>
        <w:numPr>
          <w:ilvl w:val="1"/>
          <w:numId w:val="1"/>
        </w:numPr>
        <w:rPr>
          <w:rFonts w:ascii="Arial" w:hAnsi="Arial" w:cs="Arial"/>
          <w:sz w:val="22"/>
          <w:szCs w:val="22"/>
        </w:rPr>
      </w:pPr>
      <w:r w:rsidRPr="00421CAF">
        <w:rPr>
          <w:rFonts w:ascii="Arial" w:hAnsi="Arial" w:cs="Arial"/>
          <w:sz w:val="22"/>
          <w:szCs w:val="22"/>
        </w:rPr>
        <w:t>This resource pack has been drawn from the Centre for Dise</w:t>
      </w:r>
      <w:r>
        <w:rPr>
          <w:rFonts w:ascii="Arial" w:hAnsi="Arial" w:cs="Arial"/>
          <w:sz w:val="22"/>
          <w:szCs w:val="22"/>
        </w:rPr>
        <w:t xml:space="preserve">ase Control.  </w:t>
      </w:r>
    </w:p>
    <w:p w:rsidR="00F50ABE" w:rsidRDefault="00F50ABE" w:rsidP="00F50ABE">
      <w:pPr>
        <w:pStyle w:val="ListParagraph"/>
        <w:numPr>
          <w:ilvl w:val="0"/>
          <w:numId w:val="1"/>
        </w:numPr>
        <w:rPr>
          <w:rFonts w:ascii="Arial" w:hAnsi="Arial" w:cs="Arial"/>
          <w:sz w:val="22"/>
          <w:szCs w:val="22"/>
        </w:rPr>
      </w:pPr>
      <w:r>
        <w:rPr>
          <w:rFonts w:ascii="Arial" w:hAnsi="Arial" w:cs="Arial"/>
          <w:sz w:val="22"/>
          <w:szCs w:val="22"/>
        </w:rPr>
        <w:t>ICB-IPV/CPV – Inventory of Controlling Behaviours- Intimate Partner Violence/ Child to Parent Violence</w:t>
      </w:r>
    </w:p>
    <w:p w:rsidR="00F50ABE" w:rsidRPr="00421CAF" w:rsidRDefault="00F50ABE" w:rsidP="00F50ABE">
      <w:pPr>
        <w:pStyle w:val="ListParagraph"/>
        <w:numPr>
          <w:ilvl w:val="1"/>
          <w:numId w:val="1"/>
        </w:numPr>
        <w:rPr>
          <w:rFonts w:ascii="Arial" w:hAnsi="Arial" w:cs="Arial"/>
          <w:sz w:val="22"/>
          <w:szCs w:val="22"/>
        </w:rPr>
      </w:pPr>
      <w:r>
        <w:rPr>
          <w:rFonts w:ascii="Arial" w:hAnsi="Arial" w:cs="Arial"/>
          <w:sz w:val="22"/>
          <w:szCs w:val="22"/>
        </w:rPr>
        <w:t>This measure has been adapted from the well-recognised ICB used with adult perpetrators of Domestic Abuse.  It has been specifically designed for use with YP and has two versions: IPV- which measures the amount and range of abusive and violent behaviours committed by YP within their close peer relationships; CPV- which measures the amount and range of abusive and violent behaviours between the YP and their parents and siblings specifically.</w:t>
      </w:r>
    </w:p>
    <w:p w:rsidR="00F50ABE" w:rsidRDefault="00F50ABE" w:rsidP="00F50ABE">
      <w:pPr>
        <w:rPr>
          <w:rFonts w:ascii="Arial" w:hAnsi="Arial" w:cs="Arial"/>
          <w:sz w:val="22"/>
          <w:szCs w:val="22"/>
        </w:rPr>
      </w:pPr>
    </w:p>
    <w:p w:rsidR="00F50ABE" w:rsidRDefault="00F50ABE" w:rsidP="00F50ABE">
      <w:pPr>
        <w:rPr>
          <w:rFonts w:ascii="Arial" w:hAnsi="Arial" w:cs="Arial"/>
          <w:b/>
          <w:sz w:val="22"/>
          <w:szCs w:val="22"/>
        </w:rPr>
      </w:pPr>
      <w:r>
        <w:rPr>
          <w:rFonts w:ascii="Arial" w:hAnsi="Arial" w:cs="Arial"/>
          <w:b/>
          <w:sz w:val="22"/>
          <w:szCs w:val="22"/>
        </w:rPr>
        <w:t>3.2 Administration of Measures</w:t>
      </w:r>
    </w:p>
    <w:p w:rsidR="00F50ABE" w:rsidRDefault="00F50ABE" w:rsidP="00F50ABE">
      <w:pPr>
        <w:rPr>
          <w:rFonts w:ascii="Arial" w:hAnsi="Arial" w:cs="Arial"/>
          <w:sz w:val="22"/>
          <w:szCs w:val="22"/>
        </w:rPr>
      </w:pPr>
      <w:r>
        <w:rPr>
          <w:rFonts w:ascii="Arial" w:hAnsi="Arial" w:cs="Arial"/>
          <w:sz w:val="22"/>
          <w:szCs w:val="22"/>
        </w:rPr>
        <w:t xml:space="preserve">These resources can be administered to participants as hard copy documents or the organisation may wish to use our secure electronic survey portal (provided via SMART SURVEY) whereby the YP, parents, and professionals can complete the assessment measures in an interactive online format.  There are many advantages to this in terms of ease of use for YP with literacy issues, data capture, and rapid analysis provided via the electronic system.  </w:t>
      </w:r>
    </w:p>
    <w:p w:rsidR="00F50ABE" w:rsidRDefault="00F50ABE" w:rsidP="00F50ABE">
      <w:pPr>
        <w:rPr>
          <w:rFonts w:ascii="Arial" w:hAnsi="Arial" w:cs="Arial"/>
          <w:sz w:val="22"/>
          <w:szCs w:val="22"/>
        </w:rPr>
      </w:pPr>
    </w:p>
    <w:p w:rsidR="00F50ABE" w:rsidRPr="00421CAF" w:rsidRDefault="00F50ABE" w:rsidP="00F50ABE">
      <w:pPr>
        <w:rPr>
          <w:rFonts w:ascii="Arial" w:hAnsi="Arial" w:cs="Arial"/>
          <w:b/>
          <w:sz w:val="22"/>
          <w:szCs w:val="22"/>
        </w:rPr>
      </w:pPr>
      <w:r w:rsidRPr="00EA35BD">
        <w:rPr>
          <w:rFonts w:ascii="Arial" w:hAnsi="Arial" w:cs="Arial"/>
          <w:b/>
          <w:sz w:val="22"/>
          <w:szCs w:val="22"/>
        </w:rPr>
        <w:t>3.3</w:t>
      </w:r>
      <w:r>
        <w:rPr>
          <w:rFonts w:ascii="Arial" w:hAnsi="Arial" w:cs="Arial"/>
          <w:b/>
          <w:sz w:val="22"/>
          <w:szCs w:val="22"/>
        </w:rPr>
        <w:t xml:space="preserve"> Hard Outcome Measures</w:t>
      </w:r>
    </w:p>
    <w:p w:rsidR="00F50ABE" w:rsidRDefault="00F50ABE" w:rsidP="00F50ABE">
      <w:pPr>
        <w:rPr>
          <w:rFonts w:ascii="Arial" w:hAnsi="Arial" w:cs="Arial"/>
          <w:sz w:val="22"/>
          <w:szCs w:val="22"/>
        </w:rPr>
      </w:pPr>
      <w:r>
        <w:rPr>
          <w:rFonts w:ascii="Arial" w:hAnsi="Arial" w:cs="Arial"/>
          <w:sz w:val="22"/>
          <w:szCs w:val="22"/>
        </w:rPr>
        <w:t xml:space="preserve">We also seek to establish information exchange with the schools and other agencies actively involved with YP attending the programme to provide information on: </w:t>
      </w:r>
    </w:p>
    <w:p w:rsidR="00F50ABE" w:rsidRDefault="00F50ABE" w:rsidP="00F50ABE">
      <w:pPr>
        <w:pStyle w:val="ListParagraph"/>
        <w:numPr>
          <w:ilvl w:val="0"/>
          <w:numId w:val="3"/>
        </w:numPr>
        <w:rPr>
          <w:rFonts w:ascii="Arial" w:hAnsi="Arial" w:cs="Arial"/>
          <w:sz w:val="22"/>
          <w:szCs w:val="22"/>
        </w:rPr>
      </w:pPr>
      <w:r w:rsidRPr="00421CAF">
        <w:rPr>
          <w:rFonts w:ascii="Arial" w:hAnsi="Arial" w:cs="Arial"/>
          <w:sz w:val="22"/>
          <w:szCs w:val="22"/>
        </w:rPr>
        <w:t xml:space="preserve">attendance, </w:t>
      </w:r>
    </w:p>
    <w:p w:rsidR="00F50ABE" w:rsidRDefault="00F50ABE" w:rsidP="00F50ABE">
      <w:pPr>
        <w:pStyle w:val="ListParagraph"/>
        <w:numPr>
          <w:ilvl w:val="0"/>
          <w:numId w:val="3"/>
        </w:numPr>
        <w:rPr>
          <w:rFonts w:ascii="Arial" w:hAnsi="Arial" w:cs="Arial"/>
          <w:sz w:val="22"/>
          <w:szCs w:val="22"/>
        </w:rPr>
      </w:pPr>
      <w:r w:rsidRPr="00421CAF">
        <w:rPr>
          <w:rFonts w:ascii="Arial" w:hAnsi="Arial" w:cs="Arial"/>
          <w:sz w:val="22"/>
          <w:szCs w:val="22"/>
        </w:rPr>
        <w:t xml:space="preserve">behaviour reports, </w:t>
      </w:r>
    </w:p>
    <w:p w:rsidR="00F50ABE" w:rsidRDefault="00F50ABE" w:rsidP="00F50ABE">
      <w:pPr>
        <w:pStyle w:val="ListParagraph"/>
        <w:numPr>
          <w:ilvl w:val="0"/>
          <w:numId w:val="3"/>
        </w:numPr>
        <w:rPr>
          <w:rFonts w:ascii="Arial" w:hAnsi="Arial" w:cs="Arial"/>
          <w:sz w:val="22"/>
          <w:szCs w:val="22"/>
        </w:rPr>
      </w:pPr>
      <w:r w:rsidRPr="00421CAF">
        <w:rPr>
          <w:rFonts w:ascii="Arial" w:hAnsi="Arial" w:cs="Arial"/>
          <w:sz w:val="22"/>
          <w:szCs w:val="22"/>
        </w:rPr>
        <w:t>achievement</w:t>
      </w:r>
    </w:p>
    <w:p w:rsidR="00F50ABE" w:rsidRDefault="00F50ABE" w:rsidP="00F50ABE">
      <w:pPr>
        <w:pStyle w:val="ListParagraph"/>
        <w:numPr>
          <w:ilvl w:val="0"/>
          <w:numId w:val="3"/>
        </w:numPr>
        <w:rPr>
          <w:rFonts w:ascii="Arial" w:hAnsi="Arial" w:cs="Arial"/>
          <w:sz w:val="22"/>
          <w:szCs w:val="22"/>
        </w:rPr>
      </w:pPr>
      <w:r>
        <w:rPr>
          <w:rFonts w:ascii="Arial" w:hAnsi="Arial" w:cs="Arial"/>
          <w:sz w:val="22"/>
          <w:szCs w:val="22"/>
        </w:rPr>
        <w:t>NEET status</w:t>
      </w:r>
    </w:p>
    <w:p w:rsidR="00F50ABE" w:rsidRDefault="00F50ABE" w:rsidP="00F50ABE">
      <w:pPr>
        <w:pStyle w:val="ListParagraph"/>
        <w:numPr>
          <w:ilvl w:val="0"/>
          <w:numId w:val="3"/>
        </w:numPr>
        <w:rPr>
          <w:rFonts w:ascii="Arial" w:hAnsi="Arial" w:cs="Arial"/>
          <w:sz w:val="22"/>
          <w:szCs w:val="22"/>
        </w:rPr>
      </w:pPr>
      <w:r>
        <w:rPr>
          <w:rFonts w:ascii="Arial" w:hAnsi="Arial" w:cs="Arial"/>
          <w:sz w:val="22"/>
          <w:szCs w:val="22"/>
        </w:rPr>
        <w:t>CP status</w:t>
      </w:r>
    </w:p>
    <w:p w:rsidR="00F50ABE" w:rsidRDefault="00F50ABE" w:rsidP="00F50ABE">
      <w:pPr>
        <w:pStyle w:val="ListParagraph"/>
        <w:numPr>
          <w:ilvl w:val="0"/>
          <w:numId w:val="3"/>
        </w:numPr>
        <w:rPr>
          <w:rFonts w:ascii="Arial" w:hAnsi="Arial" w:cs="Arial"/>
          <w:sz w:val="22"/>
          <w:szCs w:val="22"/>
        </w:rPr>
      </w:pPr>
      <w:r>
        <w:rPr>
          <w:rFonts w:ascii="Arial" w:hAnsi="Arial" w:cs="Arial"/>
          <w:sz w:val="22"/>
          <w:szCs w:val="22"/>
        </w:rPr>
        <w:t xml:space="preserve">Anti-social behaviour </w:t>
      </w:r>
    </w:p>
    <w:p w:rsidR="00F50ABE" w:rsidRDefault="00F50ABE" w:rsidP="00F50ABE">
      <w:pPr>
        <w:pStyle w:val="ListParagraph"/>
        <w:numPr>
          <w:ilvl w:val="0"/>
          <w:numId w:val="3"/>
        </w:numPr>
        <w:rPr>
          <w:rFonts w:ascii="Arial" w:hAnsi="Arial" w:cs="Arial"/>
          <w:sz w:val="22"/>
          <w:szCs w:val="22"/>
        </w:rPr>
      </w:pPr>
      <w:r>
        <w:rPr>
          <w:rFonts w:ascii="Arial" w:hAnsi="Arial" w:cs="Arial"/>
          <w:sz w:val="22"/>
          <w:szCs w:val="22"/>
        </w:rPr>
        <w:t>Police contact</w:t>
      </w:r>
      <w:r w:rsidRPr="00421CAF">
        <w:rPr>
          <w:rFonts w:ascii="Arial" w:hAnsi="Arial" w:cs="Arial"/>
          <w:sz w:val="22"/>
          <w:szCs w:val="22"/>
        </w:rPr>
        <w:t xml:space="preserve"> </w:t>
      </w:r>
    </w:p>
    <w:p w:rsidR="00F50ABE" w:rsidRPr="00764D82" w:rsidRDefault="00F50ABE" w:rsidP="00F50ABE">
      <w:pPr>
        <w:rPr>
          <w:rFonts w:ascii="Arial" w:hAnsi="Arial" w:cs="Arial"/>
          <w:sz w:val="22"/>
          <w:szCs w:val="22"/>
        </w:rPr>
      </w:pPr>
    </w:p>
    <w:p w:rsidR="00F50ABE" w:rsidRPr="00874980" w:rsidRDefault="00F50ABE" w:rsidP="00F50ABE">
      <w:pPr>
        <w:rPr>
          <w:rFonts w:ascii="Arial" w:hAnsi="Arial" w:cs="Arial"/>
          <w:b/>
          <w:sz w:val="22"/>
          <w:szCs w:val="22"/>
        </w:rPr>
      </w:pPr>
      <w:proofErr w:type="gramStart"/>
      <w:r>
        <w:rPr>
          <w:rFonts w:ascii="Arial" w:hAnsi="Arial" w:cs="Arial"/>
          <w:b/>
          <w:sz w:val="22"/>
          <w:szCs w:val="22"/>
        </w:rPr>
        <w:t>4  DELIVERY</w:t>
      </w:r>
      <w:proofErr w:type="gramEnd"/>
      <w:r>
        <w:rPr>
          <w:rFonts w:ascii="Arial" w:hAnsi="Arial" w:cs="Arial"/>
          <w:b/>
          <w:sz w:val="22"/>
          <w:szCs w:val="22"/>
        </w:rPr>
        <w:t xml:space="preserve"> MODEL</w:t>
      </w:r>
    </w:p>
    <w:p w:rsidR="00F50ABE" w:rsidRDefault="00F50ABE" w:rsidP="00F50ABE">
      <w:pPr>
        <w:rPr>
          <w:rFonts w:ascii="Arial" w:hAnsi="Arial" w:cs="Arial"/>
          <w:sz w:val="22"/>
          <w:szCs w:val="22"/>
        </w:rPr>
      </w:pPr>
      <w:r>
        <w:rPr>
          <w:rFonts w:ascii="Arial" w:hAnsi="Arial" w:cs="Arial"/>
          <w:sz w:val="22"/>
          <w:szCs w:val="22"/>
        </w:rPr>
        <w:t>The resources have been designed to be delivered flexibly and in line with the individual needs for each participant.  Therefore, materials are provided which suit group (6-10 participants), small complex needs groups (2-3 participants) and one to one delivery.</w:t>
      </w:r>
    </w:p>
    <w:p w:rsidR="00F50ABE" w:rsidRDefault="00F50ABE" w:rsidP="00F50ABE">
      <w:pPr>
        <w:rPr>
          <w:rFonts w:ascii="Arial" w:hAnsi="Arial" w:cs="Arial"/>
          <w:b/>
          <w:sz w:val="22"/>
          <w:szCs w:val="22"/>
        </w:rPr>
      </w:pPr>
    </w:p>
    <w:p w:rsidR="00F50ABE" w:rsidRPr="000C22AC" w:rsidRDefault="00F50ABE" w:rsidP="00F50ABE">
      <w:pPr>
        <w:rPr>
          <w:rFonts w:ascii="Arial" w:hAnsi="Arial" w:cs="Arial"/>
          <w:b/>
          <w:sz w:val="22"/>
          <w:szCs w:val="22"/>
        </w:rPr>
      </w:pPr>
      <w:proofErr w:type="gramStart"/>
      <w:r>
        <w:rPr>
          <w:rFonts w:ascii="Arial" w:hAnsi="Arial" w:cs="Arial"/>
          <w:b/>
          <w:sz w:val="22"/>
          <w:szCs w:val="22"/>
        </w:rPr>
        <w:t>4.1  Core</w:t>
      </w:r>
      <w:proofErr w:type="gramEnd"/>
      <w:r>
        <w:rPr>
          <w:rFonts w:ascii="Arial" w:hAnsi="Arial" w:cs="Arial"/>
          <w:b/>
          <w:sz w:val="22"/>
          <w:szCs w:val="22"/>
        </w:rPr>
        <w:t xml:space="preserve"> Programme</w:t>
      </w:r>
    </w:p>
    <w:p w:rsidR="00F50ABE" w:rsidRPr="00E375C0" w:rsidRDefault="00F50ABE" w:rsidP="00F50ABE">
      <w:pPr>
        <w:rPr>
          <w:rFonts w:ascii="Arial" w:hAnsi="Arial" w:cs="Arial"/>
          <w:sz w:val="22"/>
          <w:szCs w:val="22"/>
        </w:rPr>
      </w:pPr>
      <w:r>
        <w:rPr>
          <w:rFonts w:ascii="Arial" w:hAnsi="Arial" w:cs="Arial"/>
          <w:sz w:val="22"/>
          <w:szCs w:val="22"/>
        </w:rPr>
        <w:t>The original format of Changing Places includes:</w:t>
      </w:r>
    </w:p>
    <w:p w:rsidR="00F50ABE" w:rsidRPr="001079BC" w:rsidRDefault="00F50ABE" w:rsidP="00F50ABE">
      <w:pPr>
        <w:pStyle w:val="ListParagraph"/>
        <w:numPr>
          <w:ilvl w:val="0"/>
          <w:numId w:val="2"/>
        </w:numPr>
        <w:rPr>
          <w:rFonts w:ascii="Arial" w:hAnsi="Arial" w:cs="Arial"/>
          <w:sz w:val="22"/>
          <w:szCs w:val="22"/>
        </w:rPr>
      </w:pPr>
      <w:r w:rsidRPr="001079BC">
        <w:rPr>
          <w:rFonts w:ascii="Arial" w:hAnsi="Arial" w:cs="Arial"/>
          <w:sz w:val="22"/>
          <w:szCs w:val="22"/>
        </w:rPr>
        <w:t>3 pre-group sessions which can be completed one-to-one or in small groups</w:t>
      </w:r>
    </w:p>
    <w:p w:rsidR="00F50ABE" w:rsidRPr="001079BC" w:rsidRDefault="00F50ABE" w:rsidP="00F50ABE">
      <w:pPr>
        <w:pStyle w:val="ListParagraph"/>
        <w:numPr>
          <w:ilvl w:val="1"/>
          <w:numId w:val="2"/>
        </w:numPr>
        <w:rPr>
          <w:rFonts w:ascii="Arial" w:hAnsi="Arial" w:cs="Arial"/>
          <w:sz w:val="22"/>
          <w:szCs w:val="22"/>
        </w:rPr>
      </w:pPr>
      <w:r w:rsidRPr="001079BC">
        <w:rPr>
          <w:rFonts w:ascii="Arial" w:hAnsi="Arial" w:cs="Arial"/>
          <w:sz w:val="22"/>
          <w:szCs w:val="22"/>
        </w:rPr>
        <w:lastRenderedPageBreak/>
        <w:t>These sessions are designed to build motivation with participants and identify their individual needs and learning style.</w:t>
      </w:r>
    </w:p>
    <w:p w:rsidR="00F50ABE" w:rsidRPr="001079BC" w:rsidRDefault="00F50ABE" w:rsidP="00F50ABE">
      <w:pPr>
        <w:pStyle w:val="ListParagraph"/>
        <w:numPr>
          <w:ilvl w:val="0"/>
          <w:numId w:val="2"/>
        </w:numPr>
        <w:rPr>
          <w:rFonts w:ascii="Arial" w:hAnsi="Arial" w:cs="Arial"/>
          <w:sz w:val="22"/>
          <w:szCs w:val="22"/>
        </w:rPr>
      </w:pPr>
      <w:r w:rsidRPr="001079BC">
        <w:rPr>
          <w:rFonts w:ascii="Arial" w:hAnsi="Arial" w:cs="Arial"/>
          <w:sz w:val="22"/>
          <w:szCs w:val="22"/>
        </w:rPr>
        <w:t>1</w:t>
      </w:r>
      <w:r>
        <w:rPr>
          <w:rFonts w:ascii="Arial" w:hAnsi="Arial" w:cs="Arial"/>
          <w:sz w:val="22"/>
          <w:szCs w:val="22"/>
        </w:rPr>
        <w:t>0</w:t>
      </w:r>
      <w:r w:rsidRPr="001079BC">
        <w:rPr>
          <w:rFonts w:ascii="Arial" w:hAnsi="Arial" w:cs="Arial"/>
          <w:sz w:val="22"/>
          <w:szCs w:val="22"/>
        </w:rPr>
        <w:t xml:space="preserve">  core programme sessions- </w:t>
      </w:r>
      <w:r>
        <w:rPr>
          <w:rFonts w:ascii="Arial" w:hAnsi="Arial" w:cs="Arial"/>
          <w:sz w:val="22"/>
          <w:szCs w:val="22"/>
        </w:rPr>
        <w:t xml:space="preserve">for delivery </w:t>
      </w:r>
      <w:r w:rsidRPr="001079BC">
        <w:rPr>
          <w:rFonts w:ascii="Arial" w:hAnsi="Arial" w:cs="Arial"/>
          <w:sz w:val="22"/>
          <w:szCs w:val="22"/>
        </w:rPr>
        <w:t xml:space="preserve">either in a group or one-to-one  (90- 120 minutes / session), </w:t>
      </w:r>
    </w:p>
    <w:p w:rsidR="00F50ABE" w:rsidRDefault="00F50ABE" w:rsidP="00F50ABE">
      <w:pPr>
        <w:pStyle w:val="ListParagraph"/>
        <w:numPr>
          <w:ilvl w:val="0"/>
          <w:numId w:val="2"/>
        </w:numPr>
        <w:rPr>
          <w:rFonts w:ascii="Arial" w:hAnsi="Arial" w:cs="Arial"/>
          <w:sz w:val="22"/>
          <w:szCs w:val="22"/>
        </w:rPr>
      </w:pPr>
      <w:r w:rsidRPr="0030467D">
        <w:rPr>
          <w:rFonts w:ascii="Arial" w:hAnsi="Arial" w:cs="Arial"/>
          <w:sz w:val="22"/>
          <w:szCs w:val="22"/>
        </w:rPr>
        <w:t>3 one</w:t>
      </w:r>
      <w:r>
        <w:rPr>
          <w:rFonts w:ascii="Arial" w:hAnsi="Arial" w:cs="Arial"/>
          <w:sz w:val="22"/>
          <w:szCs w:val="22"/>
        </w:rPr>
        <w:t xml:space="preserve">-to-one post-group sessions to embed learning and provide longitudinal follow-up for up to two months post programme.  </w:t>
      </w:r>
    </w:p>
    <w:p w:rsidR="00F50ABE" w:rsidRDefault="00F50ABE" w:rsidP="00F50ABE">
      <w:pPr>
        <w:pStyle w:val="ListParagraph"/>
        <w:ind w:left="0"/>
        <w:rPr>
          <w:rFonts w:ascii="Arial" w:hAnsi="Arial" w:cs="Arial"/>
          <w:sz w:val="22"/>
          <w:szCs w:val="22"/>
        </w:rPr>
      </w:pPr>
      <w:r>
        <w:rPr>
          <w:rFonts w:ascii="Arial" w:hAnsi="Arial" w:cs="Arial"/>
          <w:sz w:val="22"/>
          <w:szCs w:val="22"/>
        </w:rPr>
        <w:t>(Min 16 sessions in total)</w:t>
      </w:r>
    </w:p>
    <w:p w:rsidR="00F50ABE" w:rsidRDefault="00F50ABE" w:rsidP="00F50ABE">
      <w:pPr>
        <w:pStyle w:val="ListParagraph"/>
        <w:ind w:left="0"/>
        <w:rPr>
          <w:rFonts w:ascii="Arial" w:hAnsi="Arial" w:cs="Arial"/>
          <w:sz w:val="22"/>
          <w:szCs w:val="22"/>
        </w:rPr>
      </w:pPr>
    </w:p>
    <w:p w:rsidR="00F50ABE" w:rsidRDefault="00F50ABE" w:rsidP="00F50ABE">
      <w:pPr>
        <w:pStyle w:val="ListParagraph"/>
        <w:ind w:left="0"/>
        <w:rPr>
          <w:rFonts w:ascii="Arial" w:hAnsi="Arial" w:cs="Arial"/>
          <w:b/>
          <w:sz w:val="22"/>
          <w:szCs w:val="22"/>
        </w:rPr>
      </w:pPr>
      <w:proofErr w:type="gramStart"/>
      <w:r>
        <w:rPr>
          <w:rFonts w:ascii="Arial" w:hAnsi="Arial" w:cs="Arial"/>
          <w:b/>
          <w:sz w:val="22"/>
          <w:szCs w:val="22"/>
        </w:rPr>
        <w:t>4.2  Fast</w:t>
      </w:r>
      <w:proofErr w:type="gramEnd"/>
      <w:r>
        <w:rPr>
          <w:rFonts w:ascii="Arial" w:hAnsi="Arial" w:cs="Arial"/>
          <w:b/>
          <w:sz w:val="22"/>
          <w:szCs w:val="22"/>
        </w:rPr>
        <w:t xml:space="preserve"> </w:t>
      </w:r>
      <w:proofErr w:type="spellStart"/>
      <w:r>
        <w:rPr>
          <w:rFonts w:ascii="Arial" w:hAnsi="Arial" w:cs="Arial"/>
          <w:b/>
          <w:sz w:val="22"/>
          <w:szCs w:val="22"/>
        </w:rPr>
        <w:t>TRaC</w:t>
      </w:r>
      <w:proofErr w:type="spellEnd"/>
      <w:r>
        <w:rPr>
          <w:rFonts w:ascii="Arial" w:hAnsi="Arial" w:cs="Arial"/>
          <w:b/>
          <w:sz w:val="22"/>
          <w:szCs w:val="22"/>
        </w:rPr>
        <w:t xml:space="preserve"> Programmes </w:t>
      </w:r>
    </w:p>
    <w:p w:rsidR="00F50ABE" w:rsidRDefault="00F50ABE" w:rsidP="00F50ABE">
      <w:pPr>
        <w:pStyle w:val="ListParagraph"/>
        <w:ind w:left="0"/>
        <w:rPr>
          <w:rFonts w:ascii="Arial" w:hAnsi="Arial" w:cs="Arial"/>
          <w:sz w:val="22"/>
          <w:szCs w:val="22"/>
        </w:rPr>
      </w:pPr>
      <w:r>
        <w:rPr>
          <w:rFonts w:ascii="Arial" w:hAnsi="Arial" w:cs="Arial"/>
          <w:sz w:val="22"/>
          <w:szCs w:val="22"/>
        </w:rPr>
        <w:t xml:space="preserve">Changing Places Fast </w:t>
      </w:r>
      <w:proofErr w:type="spellStart"/>
      <w:r>
        <w:rPr>
          <w:rFonts w:ascii="Arial" w:hAnsi="Arial" w:cs="Arial"/>
          <w:sz w:val="22"/>
          <w:szCs w:val="22"/>
        </w:rPr>
        <w:t>TRaC</w:t>
      </w:r>
      <w:proofErr w:type="spellEnd"/>
      <w:r>
        <w:rPr>
          <w:rFonts w:ascii="Arial" w:hAnsi="Arial" w:cs="Arial"/>
          <w:sz w:val="22"/>
          <w:szCs w:val="22"/>
        </w:rPr>
        <w:t xml:space="preserve"> (Trauma, Resilience, and Coping) is currently being piloted within Trafford YOS.  It is a revision of the core programme model and contains two much shorter but more targeted programme options:</w:t>
      </w:r>
    </w:p>
    <w:p w:rsidR="00F50ABE" w:rsidRDefault="00F50ABE" w:rsidP="00F50ABE">
      <w:pPr>
        <w:pStyle w:val="ListParagraph"/>
        <w:numPr>
          <w:ilvl w:val="0"/>
          <w:numId w:val="4"/>
        </w:numPr>
        <w:rPr>
          <w:rFonts w:ascii="Arial" w:hAnsi="Arial" w:cs="Arial"/>
          <w:sz w:val="22"/>
          <w:szCs w:val="22"/>
        </w:rPr>
      </w:pPr>
      <w:proofErr w:type="spellStart"/>
      <w:r>
        <w:rPr>
          <w:rFonts w:ascii="Arial" w:hAnsi="Arial" w:cs="Arial"/>
          <w:sz w:val="22"/>
          <w:szCs w:val="22"/>
        </w:rPr>
        <w:t>TRaC</w:t>
      </w:r>
      <w:proofErr w:type="spellEnd"/>
      <w:r>
        <w:rPr>
          <w:rFonts w:ascii="Arial" w:hAnsi="Arial" w:cs="Arial"/>
          <w:sz w:val="22"/>
          <w:szCs w:val="22"/>
        </w:rPr>
        <w:t xml:space="preserve">- R- for YP who have been directly exposed to violence and abuse within the childhood home and have potential trauma because of this, as well as exhibiting abusive behaviour or violence in their close/peer relationships.  </w:t>
      </w:r>
    </w:p>
    <w:p w:rsidR="00F50ABE" w:rsidRDefault="00F50ABE" w:rsidP="00F50ABE">
      <w:pPr>
        <w:pStyle w:val="ListParagraph"/>
        <w:numPr>
          <w:ilvl w:val="0"/>
          <w:numId w:val="4"/>
        </w:numPr>
        <w:rPr>
          <w:rFonts w:ascii="Arial" w:hAnsi="Arial" w:cs="Arial"/>
          <w:sz w:val="22"/>
          <w:szCs w:val="22"/>
        </w:rPr>
      </w:pPr>
      <w:proofErr w:type="spellStart"/>
      <w:r>
        <w:rPr>
          <w:rFonts w:ascii="Arial" w:hAnsi="Arial" w:cs="Arial"/>
          <w:sz w:val="22"/>
          <w:szCs w:val="22"/>
        </w:rPr>
        <w:t>TRaC</w:t>
      </w:r>
      <w:proofErr w:type="spellEnd"/>
      <w:r>
        <w:rPr>
          <w:rFonts w:ascii="Arial" w:hAnsi="Arial" w:cs="Arial"/>
          <w:sz w:val="22"/>
          <w:szCs w:val="22"/>
        </w:rPr>
        <w:t>- P- for YP who are engaging specifically in violence and abuse toward their parents or carers.</w:t>
      </w:r>
    </w:p>
    <w:p w:rsidR="00F50ABE" w:rsidRDefault="00F50ABE" w:rsidP="00F50ABE">
      <w:pPr>
        <w:pStyle w:val="ListParagraph"/>
        <w:ind w:left="0"/>
        <w:rPr>
          <w:rFonts w:ascii="Arial" w:hAnsi="Arial" w:cs="Arial"/>
          <w:sz w:val="22"/>
          <w:szCs w:val="22"/>
        </w:rPr>
      </w:pPr>
      <w:r>
        <w:rPr>
          <w:rFonts w:ascii="Arial" w:hAnsi="Arial" w:cs="Arial"/>
          <w:sz w:val="22"/>
          <w:szCs w:val="22"/>
        </w:rPr>
        <w:t xml:space="preserve">Both of these models use a shortened but more targeted delivery format of: </w:t>
      </w:r>
    </w:p>
    <w:p w:rsidR="00F50ABE" w:rsidRPr="000C22AC" w:rsidRDefault="00F50ABE" w:rsidP="00F50ABE">
      <w:pPr>
        <w:pStyle w:val="ListParagraph"/>
        <w:ind w:left="0"/>
        <w:rPr>
          <w:rFonts w:ascii="Arial" w:hAnsi="Arial" w:cs="Arial"/>
          <w:sz w:val="22"/>
          <w:szCs w:val="22"/>
        </w:rPr>
      </w:pPr>
      <w:r w:rsidRPr="000C22AC">
        <w:rPr>
          <w:rFonts w:ascii="Arial" w:hAnsi="Arial" w:cs="Arial"/>
          <w:sz w:val="22"/>
          <w:szCs w:val="22"/>
        </w:rPr>
        <w:t>1 pre programme session, 8 core programme sessions, 1 post programme session (with optional additional modules that can be added)</w:t>
      </w:r>
    </w:p>
    <w:p w:rsidR="00F50ABE" w:rsidRDefault="00F50ABE" w:rsidP="00F50ABE">
      <w:pPr>
        <w:pStyle w:val="ListParagraph"/>
        <w:ind w:left="0"/>
        <w:rPr>
          <w:rFonts w:ascii="Arial" w:hAnsi="Arial" w:cs="Arial"/>
          <w:sz w:val="22"/>
          <w:szCs w:val="22"/>
        </w:rPr>
      </w:pPr>
      <w:r>
        <w:rPr>
          <w:rFonts w:ascii="Arial" w:hAnsi="Arial" w:cs="Arial"/>
          <w:sz w:val="22"/>
          <w:szCs w:val="22"/>
        </w:rPr>
        <w:t>(Min 10 sessions in total)</w:t>
      </w:r>
    </w:p>
    <w:p w:rsidR="00F50ABE" w:rsidRDefault="00F50ABE" w:rsidP="00F50ABE">
      <w:pPr>
        <w:pStyle w:val="ListParagraph"/>
        <w:ind w:left="0"/>
        <w:rPr>
          <w:rFonts w:ascii="Arial" w:hAnsi="Arial" w:cs="Arial"/>
          <w:sz w:val="22"/>
          <w:szCs w:val="22"/>
        </w:rPr>
      </w:pPr>
    </w:p>
    <w:p w:rsidR="00F50ABE" w:rsidRPr="00C84C3C" w:rsidRDefault="00F50ABE" w:rsidP="00F50ABE">
      <w:pPr>
        <w:pStyle w:val="ListParagraph"/>
        <w:ind w:left="0"/>
        <w:rPr>
          <w:rFonts w:ascii="Arial" w:hAnsi="Arial" w:cs="Arial"/>
          <w:b/>
          <w:color w:val="FF0000"/>
          <w:sz w:val="22"/>
          <w:szCs w:val="22"/>
        </w:rPr>
      </w:pPr>
      <w:r>
        <w:rPr>
          <w:rFonts w:ascii="Arial" w:hAnsi="Arial" w:cs="Arial"/>
          <w:b/>
          <w:sz w:val="22"/>
          <w:szCs w:val="22"/>
        </w:rPr>
        <w:t xml:space="preserve">4.3 Acorns Programme </w:t>
      </w:r>
    </w:p>
    <w:p w:rsidR="00F50ABE" w:rsidRPr="001A168C" w:rsidRDefault="00F50ABE" w:rsidP="00F50ABE">
      <w:pPr>
        <w:pStyle w:val="ListParagraph"/>
        <w:ind w:left="0"/>
        <w:rPr>
          <w:rFonts w:ascii="Arial" w:hAnsi="Arial" w:cs="Arial"/>
          <w:sz w:val="22"/>
          <w:szCs w:val="22"/>
        </w:rPr>
      </w:pPr>
      <w:r>
        <w:rPr>
          <w:rFonts w:ascii="Arial" w:hAnsi="Arial" w:cs="Arial"/>
          <w:sz w:val="22"/>
          <w:szCs w:val="22"/>
        </w:rPr>
        <w:t>If there is the desire to expand resources for use with younger participants, there is also the Acorns programme which is specifically designed for the cognitive needs of participants (age 8-13).  This programme has been in operation since 2006.</w:t>
      </w:r>
    </w:p>
    <w:p w:rsidR="00F50ABE" w:rsidRDefault="00F50ABE" w:rsidP="00F50ABE">
      <w:pPr>
        <w:pStyle w:val="ListParagraph"/>
        <w:rPr>
          <w:rFonts w:ascii="Arial" w:hAnsi="Arial" w:cs="Arial"/>
          <w:sz w:val="22"/>
          <w:szCs w:val="22"/>
        </w:rPr>
      </w:pPr>
    </w:p>
    <w:p w:rsidR="00F50ABE" w:rsidRPr="000C22AC" w:rsidRDefault="00F50ABE" w:rsidP="00F50ABE">
      <w:pPr>
        <w:pStyle w:val="ListParagraph"/>
        <w:ind w:left="0"/>
        <w:rPr>
          <w:rFonts w:ascii="Arial" w:hAnsi="Arial" w:cs="Arial"/>
          <w:b/>
          <w:sz w:val="22"/>
          <w:szCs w:val="22"/>
        </w:rPr>
      </w:pPr>
      <w:r>
        <w:rPr>
          <w:rFonts w:ascii="Arial" w:hAnsi="Arial" w:cs="Arial"/>
          <w:b/>
          <w:sz w:val="22"/>
          <w:szCs w:val="22"/>
        </w:rPr>
        <w:t>5 TANDEM WORK WITH PARENTS</w:t>
      </w:r>
    </w:p>
    <w:p w:rsidR="00F50ABE" w:rsidRDefault="00F50ABE" w:rsidP="00F50ABE">
      <w:pPr>
        <w:pStyle w:val="ListParagraph"/>
        <w:ind w:left="0"/>
        <w:rPr>
          <w:rFonts w:ascii="Arial" w:hAnsi="Arial" w:cs="Arial"/>
          <w:sz w:val="22"/>
          <w:szCs w:val="22"/>
        </w:rPr>
      </w:pPr>
      <w:r>
        <w:rPr>
          <w:rFonts w:ascii="Arial" w:hAnsi="Arial" w:cs="Arial"/>
          <w:sz w:val="22"/>
          <w:szCs w:val="22"/>
        </w:rPr>
        <w:t xml:space="preserve">For all delivery models, there is also a Parenting Mentor Support pack for use directly with parents which provides a brief 20 minute activity or exercise that can be given out weekly to parents to encourage their own independent work with the YP and reinforce the messages on the programme outside of the group.  </w:t>
      </w:r>
    </w:p>
    <w:p w:rsidR="00F50ABE" w:rsidRDefault="00F50ABE" w:rsidP="00F50ABE">
      <w:pPr>
        <w:pStyle w:val="ListParagraph"/>
        <w:ind w:left="0"/>
        <w:rPr>
          <w:rFonts w:ascii="Arial" w:hAnsi="Arial" w:cs="Arial"/>
          <w:sz w:val="22"/>
          <w:szCs w:val="22"/>
        </w:rPr>
      </w:pPr>
    </w:p>
    <w:p w:rsidR="00F50ABE" w:rsidRDefault="00F50ABE" w:rsidP="00F50ABE">
      <w:pPr>
        <w:pStyle w:val="ListParagraph"/>
        <w:ind w:left="0"/>
        <w:rPr>
          <w:rFonts w:ascii="Arial" w:hAnsi="Arial" w:cs="Arial"/>
          <w:sz w:val="22"/>
          <w:szCs w:val="22"/>
        </w:rPr>
      </w:pPr>
      <w:r>
        <w:rPr>
          <w:rFonts w:ascii="Arial" w:hAnsi="Arial" w:cs="Arial"/>
          <w:sz w:val="22"/>
          <w:szCs w:val="22"/>
        </w:rPr>
        <w:t>This is supported by materials for 4 parent workshops that can be staggered throughout the core programme which cover the following topics:</w:t>
      </w:r>
    </w:p>
    <w:p w:rsidR="00F50ABE" w:rsidRDefault="00F50ABE" w:rsidP="00F50ABE">
      <w:pPr>
        <w:pStyle w:val="ListParagraph"/>
        <w:ind w:left="0"/>
        <w:rPr>
          <w:rFonts w:ascii="Arial" w:hAnsi="Arial" w:cs="Arial"/>
          <w:sz w:val="22"/>
          <w:szCs w:val="22"/>
        </w:rPr>
      </w:pPr>
    </w:p>
    <w:p w:rsidR="00F50ABE" w:rsidRDefault="00F50ABE" w:rsidP="00F50ABE">
      <w:pPr>
        <w:pStyle w:val="ListParagraph"/>
        <w:numPr>
          <w:ilvl w:val="0"/>
          <w:numId w:val="5"/>
        </w:numPr>
        <w:rPr>
          <w:rFonts w:ascii="Arial" w:hAnsi="Arial" w:cs="Arial"/>
          <w:sz w:val="22"/>
          <w:szCs w:val="22"/>
        </w:rPr>
      </w:pPr>
      <w:r>
        <w:rPr>
          <w:rFonts w:ascii="Arial" w:hAnsi="Arial" w:cs="Arial"/>
          <w:sz w:val="22"/>
          <w:szCs w:val="22"/>
        </w:rPr>
        <w:t xml:space="preserve">Overview of the course, </w:t>
      </w:r>
    </w:p>
    <w:p w:rsidR="00F50ABE" w:rsidRDefault="00F50ABE" w:rsidP="00F50ABE">
      <w:pPr>
        <w:pStyle w:val="ListParagraph"/>
        <w:numPr>
          <w:ilvl w:val="1"/>
          <w:numId w:val="5"/>
        </w:numPr>
        <w:rPr>
          <w:rFonts w:ascii="Arial" w:hAnsi="Arial" w:cs="Arial"/>
          <w:sz w:val="22"/>
          <w:szCs w:val="22"/>
        </w:rPr>
      </w:pPr>
      <w:r>
        <w:rPr>
          <w:rFonts w:ascii="Arial" w:hAnsi="Arial" w:cs="Arial"/>
          <w:sz w:val="22"/>
          <w:szCs w:val="22"/>
        </w:rPr>
        <w:t>expectations and concerns, how to support your child during the programme</w:t>
      </w:r>
    </w:p>
    <w:p w:rsidR="00F50ABE" w:rsidRDefault="00F50ABE" w:rsidP="00F50ABE">
      <w:pPr>
        <w:pStyle w:val="ListParagraph"/>
        <w:numPr>
          <w:ilvl w:val="0"/>
          <w:numId w:val="5"/>
        </w:numPr>
        <w:rPr>
          <w:rFonts w:ascii="Arial" w:hAnsi="Arial" w:cs="Arial"/>
          <w:sz w:val="22"/>
          <w:szCs w:val="22"/>
        </w:rPr>
      </w:pPr>
      <w:r>
        <w:rPr>
          <w:rFonts w:ascii="Arial" w:hAnsi="Arial" w:cs="Arial"/>
          <w:sz w:val="22"/>
          <w:szCs w:val="22"/>
        </w:rPr>
        <w:t xml:space="preserve">Safety strategies for managing conflict: </w:t>
      </w:r>
    </w:p>
    <w:p w:rsidR="00F50ABE" w:rsidRDefault="00F50ABE" w:rsidP="00F50ABE">
      <w:pPr>
        <w:pStyle w:val="ListParagraph"/>
        <w:numPr>
          <w:ilvl w:val="1"/>
          <w:numId w:val="5"/>
        </w:numPr>
        <w:rPr>
          <w:rFonts w:ascii="Arial" w:hAnsi="Arial" w:cs="Arial"/>
          <w:sz w:val="22"/>
          <w:szCs w:val="22"/>
        </w:rPr>
      </w:pPr>
      <w:r>
        <w:rPr>
          <w:rFonts w:ascii="Arial" w:hAnsi="Arial" w:cs="Arial"/>
          <w:sz w:val="22"/>
          <w:szCs w:val="22"/>
        </w:rPr>
        <w:t>Safety planning, behavioural contracts, Time Out and other de-escalation techniques</w:t>
      </w:r>
    </w:p>
    <w:p w:rsidR="00F50ABE" w:rsidRDefault="00F50ABE" w:rsidP="00F50ABE">
      <w:pPr>
        <w:pStyle w:val="ListParagraph"/>
        <w:numPr>
          <w:ilvl w:val="0"/>
          <w:numId w:val="5"/>
        </w:numPr>
        <w:rPr>
          <w:rFonts w:ascii="Arial" w:hAnsi="Arial" w:cs="Arial"/>
          <w:sz w:val="22"/>
          <w:szCs w:val="22"/>
        </w:rPr>
      </w:pPr>
      <w:r>
        <w:rPr>
          <w:rFonts w:ascii="Arial" w:hAnsi="Arial" w:cs="Arial"/>
          <w:sz w:val="22"/>
          <w:szCs w:val="22"/>
        </w:rPr>
        <w:t>Wheel of Communication-</w:t>
      </w:r>
    </w:p>
    <w:p w:rsidR="00F50ABE" w:rsidRDefault="00F50ABE" w:rsidP="00F50ABE">
      <w:pPr>
        <w:pStyle w:val="ListParagraph"/>
        <w:numPr>
          <w:ilvl w:val="1"/>
          <w:numId w:val="5"/>
        </w:numPr>
        <w:rPr>
          <w:rFonts w:ascii="Arial" w:hAnsi="Arial" w:cs="Arial"/>
          <w:sz w:val="22"/>
          <w:szCs w:val="22"/>
        </w:rPr>
      </w:pPr>
      <w:r>
        <w:rPr>
          <w:rFonts w:ascii="Arial" w:hAnsi="Arial" w:cs="Arial"/>
          <w:sz w:val="22"/>
          <w:szCs w:val="22"/>
        </w:rPr>
        <w:t xml:space="preserve"> improving communication and conflict management with your child; reinforcing and rebuilding a positive parent/child relationship</w:t>
      </w:r>
    </w:p>
    <w:p w:rsidR="00F50ABE" w:rsidRDefault="00F50ABE" w:rsidP="00F50ABE">
      <w:pPr>
        <w:pStyle w:val="ListParagraph"/>
        <w:numPr>
          <w:ilvl w:val="0"/>
          <w:numId w:val="5"/>
        </w:numPr>
        <w:rPr>
          <w:rFonts w:ascii="Arial" w:hAnsi="Arial" w:cs="Arial"/>
          <w:sz w:val="22"/>
          <w:szCs w:val="22"/>
        </w:rPr>
      </w:pPr>
      <w:r>
        <w:rPr>
          <w:rFonts w:ascii="Arial" w:hAnsi="Arial" w:cs="Arial"/>
          <w:sz w:val="22"/>
          <w:szCs w:val="22"/>
        </w:rPr>
        <w:t xml:space="preserve">Future Goals- </w:t>
      </w:r>
    </w:p>
    <w:p w:rsidR="00F50ABE" w:rsidRDefault="00F50ABE" w:rsidP="00F50ABE">
      <w:pPr>
        <w:pStyle w:val="ListParagraph"/>
        <w:numPr>
          <w:ilvl w:val="1"/>
          <w:numId w:val="5"/>
        </w:numPr>
        <w:rPr>
          <w:rFonts w:ascii="Arial" w:hAnsi="Arial" w:cs="Arial"/>
          <w:sz w:val="22"/>
          <w:szCs w:val="22"/>
        </w:rPr>
      </w:pPr>
      <w:r>
        <w:rPr>
          <w:rFonts w:ascii="Arial" w:hAnsi="Arial" w:cs="Arial"/>
          <w:sz w:val="22"/>
          <w:szCs w:val="22"/>
        </w:rPr>
        <w:t>Discussion about hopes and goals for your child and how to support and encourage them; discussion about the change process and how to address lapses back into the target behaviour.</w:t>
      </w:r>
    </w:p>
    <w:p w:rsidR="00F50ABE" w:rsidRDefault="00F50ABE" w:rsidP="00F50ABE">
      <w:pPr>
        <w:pStyle w:val="ListParagraph"/>
        <w:rPr>
          <w:rFonts w:ascii="Arial" w:hAnsi="Arial" w:cs="Arial"/>
          <w:sz w:val="22"/>
          <w:szCs w:val="22"/>
        </w:rPr>
      </w:pPr>
    </w:p>
    <w:p w:rsidR="00F50ABE" w:rsidRDefault="00F50ABE" w:rsidP="00F50ABE">
      <w:pPr>
        <w:pStyle w:val="ListParagraph"/>
        <w:ind w:left="0"/>
        <w:rPr>
          <w:rFonts w:ascii="Arial" w:hAnsi="Arial" w:cs="Arial"/>
          <w:sz w:val="22"/>
          <w:szCs w:val="22"/>
        </w:rPr>
      </w:pPr>
      <w:r>
        <w:rPr>
          <w:rFonts w:ascii="Arial" w:hAnsi="Arial" w:cs="Arial"/>
          <w:b/>
          <w:sz w:val="22"/>
          <w:szCs w:val="22"/>
        </w:rPr>
        <w:t>6 THEORETICAL APPROACHES</w:t>
      </w:r>
      <w:r>
        <w:rPr>
          <w:rFonts w:ascii="Arial" w:hAnsi="Arial" w:cs="Arial"/>
          <w:sz w:val="22"/>
          <w:szCs w:val="22"/>
        </w:rPr>
        <w:tab/>
      </w:r>
      <w:r>
        <w:rPr>
          <w:rFonts w:ascii="Arial" w:hAnsi="Arial" w:cs="Arial"/>
          <w:sz w:val="22"/>
          <w:szCs w:val="22"/>
        </w:rPr>
        <w:tab/>
      </w:r>
    </w:p>
    <w:p w:rsidR="00F50ABE" w:rsidRDefault="00F50ABE" w:rsidP="00F50ABE">
      <w:pPr>
        <w:rPr>
          <w:rFonts w:ascii="Arial" w:hAnsi="Arial" w:cs="Arial"/>
          <w:sz w:val="22"/>
          <w:szCs w:val="22"/>
        </w:rPr>
      </w:pPr>
      <w:r w:rsidRPr="00051CE8">
        <w:rPr>
          <w:rFonts w:ascii="Arial" w:hAnsi="Arial" w:cs="Arial"/>
          <w:sz w:val="22"/>
          <w:szCs w:val="22"/>
        </w:rPr>
        <w:t xml:space="preserve">All of the programmes adopt a broad cognitive behavioural approach to achieving long-term behavioural change.  Sessions are designed according to </w:t>
      </w:r>
      <w:r>
        <w:rPr>
          <w:rFonts w:ascii="Arial" w:hAnsi="Arial" w:cs="Arial"/>
          <w:sz w:val="22"/>
          <w:szCs w:val="22"/>
        </w:rPr>
        <w:t xml:space="preserve">a tiered model: </w:t>
      </w:r>
      <w:r w:rsidRPr="00051CE8">
        <w:rPr>
          <w:rFonts w:ascii="Arial" w:hAnsi="Arial" w:cs="Arial"/>
          <w:sz w:val="22"/>
          <w:szCs w:val="22"/>
        </w:rPr>
        <w:t>which begins by developing self-awareness and identifying individual patterns of behaviour (e.g.</w:t>
      </w:r>
      <w:r>
        <w:rPr>
          <w:rFonts w:ascii="Arial" w:hAnsi="Arial" w:cs="Arial"/>
          <w:sz w:val="22"/>
          <w:szCs w:val="22"/>
        </w:rPr>
        <w:t xml:space="preserve"> beliefs, triggers, emotional regulation</w:t>
      </w:r>
      <w:r w:rsidRPr="00051CE8">
        <w:rPr>
          <w:rFonts w:ascii="Arial" w:hAnsi="Arial" w:cs="Arial"/>
          <w:sz w:val="22"/>
          <w:szCs w:val="22"/>
        </w:rPr>
        <w:t>), then moves to core cognitive skill building (e.g. problem-</w:t>
      </w:r>
      <w:r w:rsidRPr="00051CE8">
        <w:rPr>
          <w:rFonts w:ascii="Arial" w:hAnsi="Arial" w:cs="Arial"/>
          <w:sz w:val="22"/>
          <w:szCs w:val="22"/>
        </w:rPr>
        <w:lastRenderedPageBreak/>
        <w:t xml:space="preserve">solving, perspective taking, consequential thinking, acceptance of responsibility), followed by interpersonal and social skills (e.g. communication and empathy), and finally future goal setting and reinforcement of change.  </w:t>
      </w:r>
    </w:p>
    <w:p w:rsidR="00F50ABE" w:rsidRDefault="00F50ABE" w:rsidP="00F50ABE">
      <w:pPr>
        <w:rPr>
          <w:rFonts w:ascii="Arial" w:hAnsi="Arial" w:cs="Arial"/>
          <w:sz w:val="22"/>
          <w:szCs w:val="22"/>
        </w:rPr>
      </w:pPr>
    </w:p>
    <w:p w:rsidR="00F50ABE" w:rsidRPr="00051CE8" w:rsidRDefault="00F50ABE" w:rsidP="00F50ABE">
      <w:pPr>
        <w:rPr>
          <w:rFonts w:ascii="Arial" w:hAnsi="Arial" w:cs="Arial"/>
          <w:sz w:val="22"/>
          <w:szCs w:val="22"/>
        </w:rPr>
      </w:pPr>
      <w:r w:rsidRPr="00A06F65">
        <w:rPr>
          <w:rFonts w:ascii="Arial" w:hAnsi="Arial" w:cs="Arial"/>
          <w:noProof/>
          <w:sz w:val="22"/>
          <w:szCs w:val="22"/>
          <w:lang w:val="en-US" w:eastAsia="en-US"/>
        </w:rPr>
        <w:drawing>
          <wp:inline distT="0" distB="0" distL="0" distR="0" wp14:anchorId="50F316EF" wp14:editId="18C3B15C">
            <wp:extent cx="5699306" cy="2143397"/>
            <wp:effectExtent l="76200" t="76200" r="41275" b="117475"/>
            <wp:docPr id="1" name="Diagram 1"/>
            <wp:cNvGraphicFramePr/>
            <a:graphic xmlns:a="http://schemas.openxmlformats.org/drawingml/2006/main">
              <a:graphicData uri="http://schemas.openxmlformats.org/drawingml/2006/diagram">
                <dgm:relIds xmlns:dgm="http://schemas.openxmlformats.org/drawingml/2006/diagram" xmlns:r="http://schemas.openxmlformats.org/officeDocument/2006/relationships" r:dm="rId7" r:lo="rId8" r:qs="rId9" r:cs="rId10"/>
              </a:graphicData>
            </a:graphic>
          </wp:inline>
        </w:drawing>
      </w:r>
    </w:p>
    <w:p w:rsidR="00F50ABE" w:rsidRDefault="00F50ABE" w:rsidP="00F50ABE">
      <w:pPr>
        <w:rPr>
          <w:rFonts w:ascii="Arial" w:hAnsi="Arial" w:cs="Arial"/>
          <w:sz w:val="22"/>
          <w:szCs w:val="22"/>
        </w:rPr>
      </w:pPr>
    </w:p>
    <w:p w:rsidR="00F50ABE" w:rsidRDefault="00F50ABE" w:rsidP="00F50ABE">
      <w:pPr>
        <w:rPr>
          <w:rFonts w:ascii="Arial" w:hAnsi="Arial" w:cs="Arial"/>
          <w:sz w:val="22"/>
          <w:szCs w:val="22"/>
        </w:rPr>
      </w:pPr>
      <w:r>
        <w:rPr>
          <w:rFonts w:ascii="Arial" w:hAnsi="Arial" w:cs="Arial"/>
          <w:b/>
          <w:sz w:val="22"/>
          <w:szCs w:val="22"/>
        </w:rPr>
        <w:t>7</w:t>
      </w:r>
      <w:r w:rsidRPr="00EA35BD">
        <w:rPr>
          <w:rFonts w:ascii="Arial" w:hAnsi="Arial" w:cs="Arial"/>
          <w:b/>
          <w:sz w:val="22"/>
          <w:szCs w:val="22"/>
        </w:rPr>
        <w:t xml:space="preserve"> STYLE OF DELIVERY:</w:t>
      </w:r>
      <w:r>
        <w:rPr>
          <w:rFonts w:ascii="Arial" w:hAnsi="Arial" w:cs="Arial"/>
          <w:sz w:val="22"/>
          <w:szCs w:val="22"/>
        </w:rPr>
        <w:t xml:space="preserve"> </w:t>
      </w:r>
    </w:p>
    <w:p w:rsidR="00F50ABE" w:rsidRPr="00E375C0" w:rsidRDefault="00F50ABE" w:rsidP="00F50ABE">
      <w:pPr>
        <w:rPr>
          <w:rFonts w:ascii="Arial" w:hAnsi="Arial" w:cs="Arial"/>
          <w:sz w:val="22"/>
          <w:szCs w:val="22"/>
        </w:rPr>
      </w:pPr>
      <w:proofErr w:type="gramStart"/>
      <w:r>
        <w:rPr>
          <w:rFonts w:ascii="Arial" w:hAnsi="Arial" w:cs="Arial"/>
          <w:sz w:val="22"/>
          <w:szCs w:val="22"/>
        </w:rPr>
        <w:t>Staff are</w:t>
      </w:r>
      <w:proofErr w:type="gramEnd"/>
      <w:r>
        <w:rPr>
          <w:rFonts w:ascii="Arial" w:hAnsi="Arial" w:cs="Arial"/>
          <w:sz w:val="22"/>
          <w:szCs w:val="22"/>
        </w:rPr>
        <w:t xml:space="preserve"> provided with training in motivational interviewing styles of delivery to ensure participants remain engaged and personally invested in the process of change.  The materials are flexible and provide suggested adaptations to address a range of learning styles, with a focus on interactive, non-didactic delivery.</w:t>
      </w:r>
    </w:p>
    <w:p w:rsidR="00F50ABE" w:rsidRDefault="00F50ABE" w:rsidP="00F50ABE">
      <w:pPr>
        <w:rPr>
          <w:rFonts w:ascii="Arial" w:hAnsi="Arial" w:cs="Arial"/>
          <w:sz w:val="22"/>
          <w:szCs w:val="22"/>
        </w:rPr>
      </w:pPr>
      <w:r w:rsidRPr="00051CE8">
        <w:rPr>
          <w:rFonts w:ascii="Arial" w:hAnsi="Arial" w:cs="Arial"/>
          <w:sz w:val="22"/>
          <w:szCs w:val="22"/>
        </w:rPr>
        <w:t>The manuals include clear session plans for each module and adopt the following format:</w:t>
      </w:r>
    </w:p>
    <w:p w:rsidR="00F50ABE" w:rsidRDefault="00F50ABE" w:rsidP="00F50ABE">
      <w:pPr>
        <w:pStyle w:val="ListParagraph"/>
        <w:numPr>
          <w:ilvl w:val="0"/>
          <w:numId w:val="6"/>
        </w:numPr>
        <w:rPr>
          <w:rFonts w:ascii="Arial" w:hAnsi="Arial" w:cs="Arial"/>
          <w:sz w:val="22"/>
          <w:szCs w:val="22"/>
        </w:rPr>
      </w:pPr>
      <w:r w:rsidRPr="001A168C">
        <w:rPr>
          <w:rFonts w:ascii="Arial" w:hAnsi="Arial" w:cs="Arial"/>
          <w:sz w:val="22"/>
          <w:szCs w:val="22"/>
        </w:rPr>
        <w:t xml:space="preserve">theoretical background for each module, </w:t>
      </w:r>
    </w:p>
    <w:p w:rsidR="00F50ABE" w:rsidRDefault="00F50ABE" w:rsidP="00F50ABE">
      <w:pPr>
        <w:pStyle w:val="ListParagraph"/>
        <w:numPr>
          <w:ilvl w:val="0"/>
          <w:numId w:val="6"/>
        </w:numPr>
        <w:rPr>
          <w:rFonts w:ascii="Arial" w:hAnsi="Arial" w:cs="Arial"/>
          <w:sz w:val="22"/>
          <w:szCs w:val="22"/>
        </w:rPr>
      </w:pPr>
      <w:r w:rsidRPr="001A168C">
        <w:rPr>
          <w:rFonts w:ascii="Arial" w:hAnsi="Arial" w:cs="Arial"/>
          <w:sz w:val="22"/>
          <w:szCs w:val="22"/>
        </w:rPr>
        <w:t xml:space="preserve">key learning points, </w:t>
      </w:r>
    </w:p>
    <w:p w:rsidR="00F50ABE" w:rsidRDefault="00F50ABE" w:rsidP="00F50ABE">
      <w:pPr>
        <w:pStyle w:val="ListParagraph"/>
        <w:numPr>
          <w:ilvl w:val="0"/>
          <w:numId w:val="6"/>
        </w:numPr>
        <w:rPr>
          <w:rFonts w:ascii="Arial" w:hAnsi="Arial" w:cs="Arial"/>
          <w:sz w:val="22"/>
          <w:szCs w:val="22"/>
        </w:rPr>
      </w:pPr>
      <w:r w:rsidRPr="001A168C">
        <w:rPr>
          <w:rFonts w:ascii="Arial" w:hAnsi="Arial" w:cs="Arial"/>
          <w:sz w:val="22"/>
          <w:szCs w:val="22"/>
        </w:rPr>
        <w:t xml:space="preserve">clear exercise plans for each session, </w:t>
      </w:r>
    </w:p>
    <w:p w:rsidR="00F50ABE" w:rsidRDefault="00F50ABE" w:rsidP="00F50ABE">
      <w:pPr>
        <w:pStyle w:val="ListParagraph"/>
        <w:numPr>
          <w:ilvl w:val="0"/>
          <w:numId w:val="6"/>
        </w:numPr>
        <w:rPr>
          <w:rFonts w:ascii="Arial" w:hAnsi="Arial" w:cs="Arial"/>
          <w:sz w:val="22"/>
          <w:szCs w:val="22"/>
        </w:rPr>
      </w:pPr>
      <w:r w:rsidRPr="001A168C">
        <w:rPr>
          <w:rFonts w:ascii="Arial" w:hAnsi="Arial" w:cs="Arial"/>
          <w:sz w:val="22"/>
          <w:szCs w:val="22"/>
        </w:rPr>
        <w:t xml:space="preserve">and learning outcomes </w:t>
      </w:r>
    </w:p>
    <w:p w:rsidR="00F50ABE" w:rsidRDefault="00F50ABE" w:rsidP="00F50ABE">
      <w:pPr>
        <w:pStyle w:val="ListParagraph"/>
        <w:ind w:left="0"/>
        <w:rPr>
          <w:rFonts w:ascii="Arial" w:hAnsi="Arial" w:cs="Arial"/>
          <w:sz w:val="22"/>
          <w:szCs w:val="22"/>
        </w:rPr>
      </w:pPr>
    </w:p>
    <w:p w:rsidR="00F50ABE" w:rsidRDefault="00F50ABE" w:rsidP="00F50ABE">
      <w:pPr>
        <w:rPr>
          <w:rFonts w:ascii="Arial" w:hAnsi="Arial" w:cs="Arial"/>
          <w:b/>
          <w:sz w:val="22"/>
          <w:szCs w:val="22"/>
        </w:rPr>
      </w:pPr>
      <w:proofErr w:type="gramStart"/>
      <w:r>
        <w:rPr>
          <w:rFonts w:ascii="Arial" w:hAnsi="Arial" w:cs="Arial"/>
          <w:b/>
          <w:sz w:val="22"/>
          <w:szCs w:val="22"/>
        </w:rPr>
        <w:t>8 FACILITATOR TRAINING</w:t>
      </w:r>
      <w:proofErr w:type="gramEnd"/>
    </w:p>
    <w:p w:rsidR="00F50ABE" w:rsidRPr="00EA35BD" w:rsidRDefault="00F50ABE" w:rsidP="00F50ABE">
      <w:pPr>
        <w:rPr>
          <w:rFonts w:ascii="Arial" w:hAnsi="Arial" w:cs="Arial"/>
          <w:b/>
          <w:sz w:val="22"/>
          <w:szCs w:val="22"/>
        </w:rPr>
      </w:pPr>
      <w:proofErr w:type="gramStart"/>
      <w:r>
        <w:rPr>
          <w:rFonts w:ascii="Arial" w:hAnsi="Arial" w:cs="Arial"/>
          <w:b/>
          <w:sz w:val="22"/>
          <w:szCs w:val="22"/>
        </w:rPr>
        <w:t>8.1  Aims</w:t>
      </w:r>
      <w:proofErr w:type="gramEnd"/>
      <w:r>
        <w:rPr>
          <w:rFonts w:ascii="Arial" w:hAnsi="Arial" w:cs="Arial"/>
          <w:b/>
          <w:sz w:val="22"/>
          <w:szCs w:val="22"/>
        </w:rPr>
        <w:t xml:space="preserve"> of the training</w:t>
      </w:r>
      <w:r w:rsidRPr="00EA35BD">
        <w:rPr>
          <w:rFonts w:ascii="Arial" w:hAnsi="Arial" w:cs="Arial"/>
          <w:b/>
          <w:sz w:val="22"/>
          <w:szCs w:val="22"/>
        </w:rPr>
        <w:t xml:space="preserve">: </w:t>
      </w:r>
    </w:p>
    <w:p w:rsidR="00F50ABE" w:rsidRPr="00374108" w:rsidRDefault="00F50ABE" w:rsidP="00F50ABE">
      <w:pPr>
        <w:rPr>
          <w:rFonts w:ascii="Arial" w:hAnsi="Arial" w:cs="Arial"/>
          <w:sz w:val="22"/>
          <w:szCs w:val="22"/>
        </w:rPr>
      </w:pPr>
      <w:r w:rsidRPr="00374108">
        <w:rPr>
          <w:rFonts w:ascii="Arial" w:hAnsi="Arial" w:cs="Arial"/>
          <w:sz w:val="22"/>
          <w:szCs w:val="22"/>
        </w:rPr>
        <w:t>By the end of the course, practitioners will be able to:</w:t>
      </w:r>
    </w:p>
    <w:p w:rsidR="00F50ABE" w:rsidRPr="00A06F65" w:rsidRDefault="00F50ABE" w:rsidP="00F50ABE">
      <w:pPr>
        <w:pStyle w:val="ListParagraph"/>
        <w:numPr>
          <w:ilvl w:val="0"/>
          <w:numId w:val="7"/>
        </w:numPr>
        <w:rPr>
          <w:rFonts w:ascii="Arial" w:hAnsi="Arial" w:cs="Arial"/>
          <w:sz w:val="22"/>
          <w:szCs w:val="22"/>
        </w:rPr>
      </w:pPr>
      <w:r w:rsidRPr="00A06F65">
        <w:rPr>
          <w:rFonts w:ascii="Arial" w:hAnsi="Arial" w:cs="Arial"/>
          <w:sz w:val="22"/>
          <w:szCs w:val="22"/>
        </w:rPr>
        <w:t>assess children and young people for suitability using the targeting tools;</w:t>
      </w:r>
    </w:p>
    <w:p w:rsidR="00F50ABE" w:rsidRPr="00A06F65" w:rsidRDefault="00F50ABE" w:rsidP="00F50ABE">
      <w:pPr>
        <w:pStyle w:val="ListParagraph"/>
        <w:numPr>
          <w:ilvl w:val="0"/>
          <w:numId w:val="7"/>
        </w:numPr>
        <w:rPr>
          <w:rFonts w:ascii="Arial" w:hAnsi="Arial" w:cs="Arial"/>
          <w:sz w:val="22"/>
          <w:szCs w:val="22"/>
        </w:rPr>
      </w:pPr>
      <w:r w:rsidRPr="00A06F65">
        <w:rPr>
          <w:rFonts w:ascii="Arial" w:hAnsi="Arial" w:cs="Arial"/>
          <w:sz w:val="22"/>
          <w:szCs w:val="22"/>
        </w:rPr>
        <w:t>administer and interpret the evaluation measures pre/post programme</w:t>
      </w:r>
    </w:p>
    <w:p w:rsidR="00F50ABE" w:rsidRPr="00A06F65" w:rsidRDefault="00F50ABE" w:rsidP="00F50ABE">
      <w:pPr>
        <w:pStyle w:val="ListParagraph"/>
        <w:numPr>
          <w:ilvl w:val="0"/>
          <w:numId w:val="7"/>
        </w:numPr>
        <w:rPr>
          <w:rFonts w:ascii="Arial" w:hAnsi="Arial" w:cs="Arial"/>
          <w:sz w:val="22"/>
          <w:szCs w:val="22"/>
        </w:rPr>
      </w:pPr>
      <w:r w:rsidRPr="00A06F65">
        <w:rPr>
          <w:rFonts w:ascii="Arial" w:hAnsi="Arial" w:cs="Arial"/>
          <w:sz w:val="22"/>
          <w:szCs w:val="22"/>
        </w:rPr>
        <w:t>confidently deliver the interventions to a range of participants, either in a group or one-to-one;</w:t>
      </w:r>
    </w:p>
    <w:p w:rsidR="00F50ABE" w:rsidRPr="00A06F65" w:rsidRDefault="00F50ABE" w:rsidP="00F50ABE">
      <w:pPr>
        <w:pStyle w:val="ListParagraph"/>
        <w:numPr>
          <w:ilvl w:val="0"/>
          <w:numId w:val="7"/>
        </w:numPr>
        <w:rPr>
          <w:rFonts w:ascii="Arial" w:hAnsi="Arial" w:cs="Arial"/>
          <w:sz w:val="22"/>
          <w:szCs w:val="22"/>
        </w:rPr>
      </w:pPr>
      <w:r w:rsidRPr="00A06F65">
        <w:rPr>
          <w:rFonts w:ascii="Arial" w:hAnsi="Arial" w:cs="Arial"/>
          <w:sz w:val="22"/>
          <w:szCs w:val="22"/>
        </w:rPr>
        <w:t>grasp basic underlying cognitive behavioural principles and motivational interviewing skills to support their work with children and young people;</w:t>
      </w:r>
    </w:p>
    <w:p w:rsidR="00F50ABE" w:rsidRPr="00A06F65" w:rsidRDefault="00F50ABE" w:rsidP="00F50ABE">
      <w:pPr>
        <w:pStyle w:val="ListParagraph"/>
        <w:numPr>
          <w:ilvl w:val="0"/>
          <w:numId w:val="7"/>
        </w:numPr>
        <w:rPr>
          <w:rFonts w:ascii="Arial" w:hAnsi="Arial" w:cs="Arial"/>
          <w:sz w:val="22"/>
          <w:szCs w:val="22"/>
        </w:rPr>
      </w:pPr>
      <w:r w:rsidRPr="00A06F65">
        <w:rPr>
          <w:rFonts w:ascii="Arial" w:hAnsi="Arial" w:cs="Arial"/>
          <w:sz w:val="22"/>
          <w:szCs w:val="22"/>
        </w:rPr>
        <w:t xml:space="preserve">Understand the psychology and aetiology of violent and </w:t>
      </w:r>
      <w:r>
        <w:rPr>
          <w:rFonts w:ascii="Arial" w:hAnsi="Arial" w:cs="Arial"/>
          <w:sz w:val="22"/>
          <w:szCs w:val="22"/>
        </w:rPr>
        <w:t>abusive</w:t>
      </w:r>
      <w:r w:rsidRPr="00A06F65">
        <w:rPr>
          <w:rFonts w:ascii="Arial" w:hAnsi="Arial" w:cs="Arial"/>
          <w:sz w:val="22"/>
          <w:szCs w:val="22"/>
        </w:rPr>
        <w:t xml:space="preserve"> behaviour within relationships.   </w:t>
      </w:r>
    </w:p>
    <w:p w:rsidR="00F50ABE" w:rsidRPr="00051CE8" w:rsidRDefault="00F50ABE" w:rsidP="00F50ABE">
      <w:pPr>
        <w:rPr>
          <w:rFonts w:ascii="Arial" w:hAnsi="Arial" w:cs="Arial"/>
          <w:sz w:val="22"/>
          <w:szCs w:val="22"/>
        </w:rPr>
      </w:pPr>
    </w:p>
    <w:p w:rsidR="00F50ABE" w:rsidRPr="00EA35BD" w:rsidRDefault="00F50ABE" w:rsidP="00F50ABE">
      <w:pPr>
        <w:rPr>
          <w:rFonts w:ascii="Arial" w:hAnsi="Arial" w:cs="Arial"/>
          <w:b/>
          <w:sz w:val="22"/>
          <w:szCs w:val="22"/>
        </w:rPr>
      </w:pPr>
      <w:r>
        <w:rPr>
          <w:rFonts w:ascii="Arial" w:hAnsi="Arial" w:cs="Arial"/>
          <w:b/>
          <w:sz w:val="22"/>
          <w:szCs w:val="22"/>
        </w:rPr>
        <w:t xml:space="preserve">8.2 </w:t>
      </w:r>
      <w:r w:rsidRPr="00EA35BD">
        <w:rPr>
          <w:rFonts w:ascii="Arial" w:hAnsi="Arial" w:cs="Arial"/>
          <w:b/>
          <w:sz w:val="22"/>
          <w:szCs w:val="22"/>
        </w:rPr>
        <w:t xml:space="preserve">OBJECTIVES: </w:t>
      </w:r>
    </w:p>
    <w:p w:rsidR="00F50ABE" w:rsidRPr="00374108" w:rsidRDefault="00F50ABE" w:rsidP="00F50ABE">
      <w:pPr>
        <w:rPr>
          <w:rFonts w:ascii="Arial" w:hAnsi="Arial" w:cs="Arial"/>
          <w:sz w:val="22"/>
          <w:szCs w:val="22"/>
        </w:rPr>
      </w:pPr>
      <w:r w:rsidRPr="00374108">
        <w:rPr>
          <w:rFonts w:ascii="Arial" w:hAnsi="Arial" w:cs="Arial"/>
          <w:sz w:val="22"/>
          <w:szCs w:val="22"/>
        </w:rPr>
        <w:t>Participants on the course will complete modules on the following topics:</w:t>
      </w:r>
    </w:p>
    <w:p w:rsidR="00F50ABE" w:rsidRPr="00A06F65" w:rsidRDefault="00F50ABE" w:rsidP="00F50ABE">
      <w:pPr>
        <w:pStyle w:val="ListParagraph"/>
        <w:numPr>
          <w:ilvl w:val="0"/>
          <w:numId w:val="8"/>
        </w:numPr>
        <w:rPr>
          <w:rFonts w:ascii="Arial" w:hAnsi="Arial" w:cs="Arial"/>
          <w:sz w:val="22"/>
          <w:szCs w:val="22"/>
        </w:rPr>
      </w:pPr>
      <w:r w:rsidRPr="00A06F65">
        <w:rPr>
          <w:rFonts w:ascii="Arial" w:hAnsi="Arial" w:cs="Arial"/>
          <w:sz w:val="22"/>
          <w:szCs w:val="22"/>
        </w:rPr>
        <w:t>Cognitive Behavioural Theory</w:t>
      </w:r>
    </w:p>
    <w:p w:rsidR="00F50ABE" w:rsidRPr="00A06F65" w:rsidRDefault="00F50ABE" w:rsidP="00F50ABE">
      <w:pPr>
        <w:pStyle w:val="ListParagraph"/>
        <w:numPr>
          <w:ilvl w:val="0"/>
          <w:numId w:val="8"/>
        </w:numPr>
        <w:rPr>
          <w:rFonts w:ascii="Arial" w:hAnsi="Arial" w:cs="Arial"/>
          <w:sz w:val="22"/>
          <w:szCs w:val="22"/>
        </w:rPr>
      </w:pPr>
      <w:r w:rsidRPr="00A06F65">
        <w:rPr>
          <w:rFonts w:ascii="Arial" w:hAnsi="Arial" w:cs="Arial"/>
          <w:sz w:val="22"/>
          <w:szCs w:val="22"/>
        </w:rPr>
        <w:t>Motivational Interviewing approaches</w:t>
      </w:r>
    </w:p>
    <w:p w:rsidR="00F50ABE" w:rsidRPr="00A06F65" w:rsidRDefault="00F50ABE" w:rsidP="00F50ABE">
      <w:pPr>
        <w:pStyle w:val="ListParagraph"/>
        <w:numPr>
          <w:ilvl w:val="0"/>
          <w:numId w:val="8"/>
        </w:numPr>
        <w:rPr>
          <w:rFonts w:ascii="Arial" w:hAnsi="Arial" w:cs="Arial"/>
          <w:sz w:val="22"/>
          <w:szCs w:val="22"/>
        </w:rPr>
      </w:pPr>
      <w:r w:rsidRPr="00A06F65">
        <w:rPr>
          <w:rFonts w:ascii="Arial" w:hAnsi="Arial" w:cs="Arial"/>
          <w:sz w:val="22"/>
          <w:szCs w:val="22"/>
        </w:rPr>
        <w:t xml:space="preserve">Psychology of Domestic Abuse </w:t>
      </w:r>
    </w:p>
    <w:p w:rsidR="00F50ABE" w:rsidRPr="00A06F65" w:rsidRDefault="00F50ABE" w:rsidP="00F50ABE">
      <w:pPr>
        <w:pStyle w:val="ListParagraph"/>
        <w:numPr>
          <w:ilvl w:val="0"/>
          <w:numId w:val="8"/>
        </w:numPr>
        <w:rPr>
          <w:rFonts w:ascii="Arial" w:hAnsi="Arial" w:cs="Arial"/>
          <w:sz w:val="22"/>
          <w:szCs w:val="22"/>
        </w:rPr>
      </w:pPr>
      <w:r w:rsidRPr="00A06F65">
        <w:rPr>
          <w:rFonts w:ascii="Arial" w:hAnsi="Arial" w:cs="Arial"/>
          <w:sz w:val="22"/>
          <w:szCs w:val="22"/>
        </w:rPr>
        <w:t>Preventative approaches with children and young people</w:t>
      </w:r>
    </w:p>
    <w:p w:rsidR="00F50ABE" w:rsidRPr="00A06F65" w:rsidRDefault="00F50ABE" w:rsidP="00F50ABE">
      <w:pPr>
        <w:pStyle w:val="ListParagraph"/>
        <w:numPr>
          <w:ilvl w:val="0"/>
          <w:numId w:val="8"/>
        </w:numPr>
        <w:rPr>
          <w:rFonts w:ascii="Arial" w:hAnsi="Arial" w:cs="Arial"/>
          <w:sz w:val="22"/>
          <w:szCs w:val="22"/>
        </w:rPr>
      </w:pPr>
      <w:r w:rsidRPr="00A06F65">
        <w:rPr>
          <w:rFonts w:ascii="Arial" w:hAnsi="Arial" w:cs="Arial"/>
          <w:sz w:val="22"/>
          <w:szCs w:val="22"/>
        </w:rPr>
        <w:t>Use of targeting and suitability matrices to support allocating young people to programmes and determining level of need</w:t>
      </w:r>
    </w:p>
    <w:p w:rsidR="00F50ABE" w:rsidRPr="00A06F65" w:rsidRDefault="00F50ABE" w:rsidP="00F50ABE">
      <w:pPr>
        <w:pStyle w:val="ListParagraph"/>
        <w:numPr>
          <w:ilvl w:val="0"/>
          <w:numId w:val="8"/>
        </w:numPr>
        <w:rPr>
          <w:rFonts w:ascii="Arial" w:hAnsi="Arial" w:cs="Arial"/>
          <w:sz w:val="22"/>
          <w:szCs w:val="22"/>
        </w:rPr>
      </w:pPr>
      <w:r w:rsidRPr="00A06F65">
        <w:rPr>
          <w:rFonts w:ascii="Arial" w:hAnsi="Arial" w:cs="Arial"/>
          <w:sz w:val="22"/>
          <w:szCs w:val="22"/>
        </w:rPr>
        <w:t>Administration and use of psychometrics for programme evaluation</w:t>
      </w:r>
    </w:p>
    <w:p w:rsidR="00F50ABE" w:rsidRDefault="00F50ABE" w:rsidP="00F50ABE">
      <w:pPr>
        <w:pStyle w:val="ListParagraph"/>
        <w:numPr>
          <w:ilvl w:val="0"/>
          <w:numId w:val="8"/>
        </w:numPr>
        <w:rPr>
          <w:rFonts w:ascii="Arial" w:hAnsi="Arial" w:cs="Arial"/>
          <w:sz w:val="22"/>
          <w:szCs w:val="22"/>
        </w:rPr>
      </w:pPr>
      <w:r w:rsidRPr="00A06F65">
        <w:rPr>
          <w:rFonts w:ascii="Arial" w:hAnsi="Arial" w:cs="Arial"/>
          <w:sz w:val="22"/>
          <w:szCs w:val="22"/>
        </w:rPr>
        <w:t>Practical delivery of session content for intervention programme</w:t>
      </w:r>
    </w:p>
    <w:p w:rsidR="00F50ABE" w:rsidRPr="00A06F65" w:rsidRDefault="00F50ABE" w:rsidP="00F50ABE">
      <w:pPr>
        <w:pStyle w:val="ListParagraph"/>
        <w:ind w:left="1080"/>
        <w:rPr>
          <w:rFonts w:ascii="Arial" w:hAnsi="Arial" w:cs="Arial"/>
          <w:sz w:val="22"/>
          <w:szCs w:val="22"/>
        </w:rPr>
      </w:pPr>
    </w:p>
    <w:p w:rsidR="00F50ABE" w:rsidRPr="00374108" w:rsidRDefault="00F50ABE" w:rsidP="00F50ABE">
      <w:pPr>
        <w:rPr>
          <w:rFonts w:ascii="Arial" w:hAnsi="Arial" w:cs="Arial"/>
          <w:sz w:val="22"/>
          <w:szCs w:val="22"/>
        </w:rPr>
      </w:pPr>
      <w:r w:rsidRPr="00374108">
        <w:rPr>
          <w:rFonts w:ascii="Arial" w:hAnsi="Arial" w:cs="Arial"/>
          <w:sz w:val="22"/>
          <w:szCs w:val="22"/>
        </w:rPr>
        <w:lastRenderedPageBreak/>
        <w:t>Participants will be provided with ample opportunity to deliver the programme content to each other in small groups to allow them to become familiar with the interventions, to build confidence in delivery, and to allow an assessment of skill level and knowledge base by the course leader.  Where areas of concern are identified, this will be discussed with the participant and fed back to the line manager for additional support to ensure staff are 'field ready' to use the interventions appropriately with children and young people.</w:t>
      </w:r>
    </w:p>
    <w:p w:rsidR="00F50ABE" w:rsidRPr="00374108" w:rsidRDefault="00F50ABE" w:rsidP="00F50ABE">
      <w:pPr>
        <w:rPr>
          <w:rFonts w:ascii="Arial" w:hAnsi="Arial" w:cs="Arial"/>
          <w:sz w:val="22"/>
          <w:szCs w:val="22"/>
        </w:rPr>
      </w:pPr>
    </w:p>
    <w:p w:rsidR="00F50ABE" w:rsidRDefault="00F50ABE" w:rsidP="00F50ABE">
      <w:pPr>
        <w:rPr>
          <w:rFonts w:ascii="Arial" w:hAnsi="Arial" w:cs="Arial"/>
          <w:sz w:val="22"/>
          <w:szCs w:val="22"/>
        </w:rPr>
      </w:pPr>
      <w:r w:rsidRPr="00374108">
        <w:rPr>
          <w:rFonts w:ascii="Arial" w:hAnsi="Arial" w:cs="Arial"/>
          <w:sz w:val="22"/>
          <w:szCs w:val="22"/>
        </w:rPr>
        <w:t xml:space="preserve">Line managers, supporting partners, and referral partners would benefit from attendance at the </w:t>
      </w:r>
      <w:r>
        <w:rPr>
          <w:rFonts w:ascii="Arial" w:hAnsi="Arial" w:cs="Arial"/>
          <w:sz w:val="22"/>
          <w:szCs w:val="22"/>
        </w:rPr>
        <w:t>theory</w:t>
      </w:r>
      <w:r w:rsidRPr="00374108">
        <w:rPr>
          <w:rFonts w:ascii="Arial" w:hAnsi="Arial" w:cs="Arial"/>
          <w:sz w:val="22"/>
          <w:szCs w:val="22"/>
        </w:rPr>
        <w:t xml:space="preserve"> day of the training to receive an overview of the programmes and the approaches to be used, as well as the level of resource and commitment required to run the programmes, the required support and supervision structure, and the potential for collaboration and referral across agencies. </w:t>
      </w:r>
    </w:p>
    <w:p w:rsidR="00F50ABE" w:rsidRDefault="00F50ABE" w:rsidP="00F50ABE">
      <w:pPr>
        <w:rPr>
          <w:rFonts w:ascii="Arial" w:hAnsi="Arial" w:cs="Arial"/>
          <w:sz w:val="22"/>
          <w:szCs w:val="22"/>
        </w:rPr>
      </w:pPr>
    </w:p>
    <w:p w:rsidR="00F50ABE" w:rsidRDefault="00F50ABE" w:rsidP="00F50ABE">
      <w:pPr>
        <w:rPr>
          <w:rFonts w:ascii="Arial" w:hAnsi="Arial" w:cs="Arial"/>
          <w:b/>
          <w:sz w:val="22"/>
          <w:szCs w:val="22"/>
        </w:rPr>
      </w:pPr>
      <w:r w:rsidRPr="00051CE8">
        <w:rPr>
          <w:rFonts w:ascii="Arial" w:hAnsi="Arial" w:cs="Arial"/>
          <w:sz w:val="22"/>
          <w:szCs w:val="22"/>
        </w:rPr>
        <w:t xml:space="preserve">Facilitators are provided with an awareness of the theory to ensure they understand why they are delivering each exercise and the impact they are hoping to achieve.  Facilitators are encouraged to be responsive to the learning needs of the participants, rather than using the manual as a rigid script- but are instructed that any adaptations must support the key learning points and outcomes for each module to support programme integrity.  Practitioners have repeatedly commented in training that this model is a refreshing and practical one that allows them to respond to individual complex needs but provides clear instruction and guidance for each session.  </w:t>
      </w:r>
    </w:p>
    <w:p w:rsidR="00F50ABE" w:rsidRDefault="00F50ABE" w:rsidP="00F50ABE">
      <w:pPr>
        <w:rPr>
          <w:rFonts w:ascii="Arial" w:hAnsi="Arial" w:cs="Arial"/>
          <w:b/>
          <w:sz w:val="22"/>
          <w:szCs w:val="22"/>
        </w:rPr>
      </w:pPr>
    </w:p>
    <w:p w:rsidR="00F50ABE" w:rsidRDefault="00F50ABE" w:rsidP="00F50ABE">
      <w:pPr>
        <w:rPr>
          <w:rFonts w:ascii="Arial" w:hAnsi="Arial" w:cs="Arial"/>
          <w:b/>
          <w:sz w:val="22"/>
          <w:szCs w:val="22"/>
        </w:rPr>
      </w:pPr>
    </w:p>
    <w:p w:rsidR="00F50ABE" w:rsidRDefault="00F50ABE" w:rsidP="00F50ABE">
      <w:pPr>
        <w:rPr>
          <w:rFonts w:ascii="Arial" w:hAnsi="Arial" w:cs="Arial"/>
          <w:b/>
          <w:sz w:val="22"/>
          <w:szCs w:val="22"/>
        </w:rPr>
      </w:pPr>
      <w:r>
        <w:rPr>
          <w:rFonts w:ascii="Arial" w:hAnsi="Arial" w:cs="Arial"/>
          <w:b/>
          <w:sz w:val="22"/>
          <w:szCs w:val="22"/>
        </w:rPr>
        <w:t>8.3 Experience and Qualifications of trainer</w:t>
      </w:r>
    </w:p>
    <w:p w:rsidR="00F50ABE" w:rsidRDefault="00F50ABE" w:rsidP="00F50ABE">
      <w:pPr>
        <w:rPr>
          <w:rFonts w:ascii="Arial" w:hAnsi="Arial" w:cs="Arial"/>
          <w:sz w:val="22"/>
          <w:szCs w:val="22"/>
        </w:rPr>
      </w:pPr>
      <w:r w:rsidRPr="00051CE8">
        <w:rPr>
          <w:rFonts w:ascii="Arial" w:hAnsi="Arial" w:cs="Arial"/>
          <w:sz w:val="22"/>
          <w:szCs w:val="22"/>
        </w:rPr>
        <w:t>Emily Alison is a behavioural advisor and clinical supervisor for Domestic Abuse interventions</w:t>
      </w:r>
      <w:r>
        <w:rPr>
          <w:rFonts w:ascii="Arial" w:hAnsi="Arial" w:cs="Arial"/>
          <w:sz w:val="22"/>
          <w:szCs w:val="22"/>
        </w:rPr>
        <w:t xml:space="preserve"> provided by a number of services across the North West (Choose 2 Change, No </w:t>
      </w:r>
      <w:proofErr w:type="spellStart"/>
      <w:r>
        <w:rPr>
          <w:rFonts w:ascii="Arial" w:hAnsi="Arial" w:cs="Arial"/>
          <w:sz w:val="22"/>
          <w:szCs w:val="22"/>
        </w:rPr>
        <w:t>Xcuses</w:t>
      </w:r>
      <w:proofErr w:type="spellEnd"/>
      <w:r>
        <w:rPr>
          <w:rFonts w:ascii="Arial" w:hAnsi="Arial" w:cs="Arial"/>
          <w:sz w:val="22"/>
          <w:szCs w:val="22"/>
        </w:rPr>
        <w:t xml:space="preserve">, </w:t>
      </w:r>
      <w:proofErr w:type="spellStart"/>
      <w:r>
        <w:rPr>
          <w:rFonts w:ascii="Arial" w:hAnsi="Arial" w:cs="Arial"/>
          <w:sz w:val="22"/>
          <w:szCs w:val="22"/>
        </w:rPr>
        <w:t>LifeLine</w:t>
      </w:r>
      <w:proofErr w:type="spellEnd"/>
      <w:r>
        <w:rPr>
          <w:rFonts w:ascii="Arial" w:hAnsi="Arial" w:cs="Arial"/>
          <w:sz w:val="22"/>
          <w:szCs w:val="22"/>
        </w:rPr>
        <w:t>- CWA, Bury, Wigan)</w:t>
      </w:r>
      <w:r w:rsidRPr="00051CE8">
        <w:rPr>
          <w:rFonts w:ascii="Arial" w:hAnsi="Arial" w:cs="Arial"/>
          <w:sz w:val="22"/>
          <w:szCs w:val="22"/>
        </w:rPr>
        <w:t xml:space="preserve">. </w:t>
      </w:r>
    </w:p>
    <w:p w:rsidR="00F50ABE" w:rsidRDefault="00F50ABE" w:rsidP="00F50ABE">
      <w:pPr>
        <w:rPr>
          <w:rFonts w:ascii="Arial" w:hAnsi="Arial" w:cs="Arial"/>
          <w:sz w:val="22"/>
          <w:szCs w:val="22"/>
        </w:rPr>
      </w:pPr>
    </w:p>
    <w:p w:rsidR="00F50ABE" w:rsidRDefault="00F50ABE" w:rsidP="00F50ABE">
      <w:pPr>
        <w:rPr>
          <w:rFonts w:ascii="Arial" w:hAnsi="Arial" w:cs="Arial"/>
          <w:sz w:val="22"/>
          <w:szCs w:val="22"/>
        </w:rPr>
      </w:pPr>
      <w:r w:rsidRPr="00051CE8">
        <w:rPr>
          <w:rFonts w:ascii="Arial" w:hAnsi="Arial" w:cs="Arial"/>
          <w:sz w:val="22"/>
          <w:szCs w:val="22"/>
        </w:rPr>
        <w:t xml:space="preserve">She has been delivering or designing interventions for use with families experiencing domestic abuse for the last 15 years both in the US and the UK.  There are currently 41 agencies across the UK delivering Changing Places or its primary age version Acorns, including a number of Youth Offending Teams (Greenwich, Blackburn, and Cheshire).  </w:t>
      </w:r>
    </w:p>
    <w:p w:rsidR="00F50ABE" w:rsidRPr="00051CE8" w:rsidRDefault="00F50ABE" w:rsidP="00F50ABE">
      <w:pPr>
        <w:rPr>
          <w:rFonts w:ascii="Arial" w:hAnsi="Arial" w:cs="Arial"/>
          <w:sz w:val="22"/>
          <w:szCs w:val="22"/>
        </w:rPr>
      </w:pPr>
    </w:p>
    <w:p w:rsidR="00F50ABE" w:rsidRDefault="00F50ABE" w:rsidP="00F50ABE">
      <w:pPr>
        <w:rPr>
          <w:rFonts w:ascii="Arial" w:hAnsi="Arial" w:cs="Arial"/>
          <w:sz w:val="22"/>
          <w:szCs w:val="22"/>
        </w:rPr>
      </w:pPr>
      <w:r>
        <w:rPr>
          <w:rFonts w:ascii="Arial" w:hAnsi="Arial" w:cs="Arial"/>
          <w:sz w:val="22"/>
          <w:szCs w:val="22"/>
        </w:rPr>
        <w:t>She</w:t>
      </w:r>
      <w:r w:rsidRPr="00374108">
        <w:rPr>
          <w:rFonts w:ascii="Arial" w:hAnsi="Arial" w:cs="Arial"/>
          <w:sz w:val="22"/>
          <w:szCs w:val="22"/>
        </w:rPr>
        <w:t xml:space="preserve"> was an accredited programme trainer with the National Probation Service for England and Wales and has trained over 400 professionals in the delivery of intervention programmes specifically for children and young people.  She has trained practitioners from a range of organisations directly engaged with children and young people, such as education- including educational psychology teams and specialist EBD staff, </w:t>
      </w:r>
      <w:r>
        <w:rPr>
          <w:rFonts w:ascii="Arial" w:hAnsi="Arial" w:cs="Arial"/>
          <w:sz w:val="22"/>
          <w:szCs w:val="22"/>
        </w:rPr>
        <w:t xml:space="preserve">educational psychologists, </w:t>
      </w:r>
      <w:r w:rsidRPr="00374108">
        <w:rPr>
          <w:rFonts w:ascii="Arial" w:hAnsi="Arial" w:cs="Arial"/>
          <w:sz w:val="22"/>
          <w:szCs w:val="22"/>
        </w:rPr>
        <w:t xml:space="preserve">social care, family support workers, youth engagement services, residential staff, as well as YOS staff from parenting, preventative, and core statutory services.  </w:t>
      </w:r>
    </w:p>
    <w:p w:rsidR="00F50ABE" w:rsidRDefault="00F50ABE" w:rsidP="00F50ABE">
      <w:pPr>
        <w:rPr>
          <w:rFonts w:ascii="Arial" w:hAnsi="Arial" w:cs="Arial"/>
          <w:sz w:val="22"/>
          <w:szCs w:val="22"/>
        </w:rPr>
      </w:pPr>
    </w:p>
    <w:p w:rsidR="00F50ABE" w:rsidRDefault="00F50ABE" w:rsidP="00F50ABE">
      <w:pPr>
        <w:rPr>
          <w:rFonts w:ascii="Arial" w:hAnsi="Arial" w:cs="Arial"/>
          <w:b/>
          <w:sz w:val="22"/>
          <w:szCs w:val="22"/>
        </w:rPr>
      </w:pPr>
      <w:r>
        <w:rPr>
          <w:rFonts w:ascii="Arial" w:hAnsi="Arial" w:cs="Arial"/>
          <w:b/>
          <w:sz w:val="22"/>
          <w:szCs w:val="22"/>
        </w:rPr>
        <w:t>7.2 Training Outcomes</w:t>
      </w:r>
    </w:p>
    <w:p w:rsidR="00F50ABE" w:rsidRPr="00374108" w:rsidRDefault="00F50ABE" w:rsidP="00F50ABE">
      <w:pPr>
        <w:rPr>
          <w:rFonts w:ascii="Arial" w:hAnsi="Arial" w:cs="Arial"/>
          <w:sz w:val="22"/>
          <w:szCs w:val="22"/>
        </w:rPr>
      </w:pPr>
      <w:r w:rsidRPr="00374108">
        <w:rPr>
          <w:rFonts w:ascii="Arial" w:hAnsi="Arial" w:cs="Arial"/>
          <w:sz w:val="22"/>
          <w:szCs w:val="22"/>
        </w:rPr>
        <w:t>These training events are always well received and the feedback is extremely positive.  Staff not only find the training builds their confidence in direct delivery of the interventions but in all cases it is rated as very or extremely useful for direct work in general with children and young people.  98% of participants report the training has improved their understanding of domestic abuse, cognitive behavioural theory, and motivational strategies for work with young people and 94% say they feel quite, very or extremely confident to be able to deliver the intervention after training</w:t>
      </w:r>
      <w:r>
        <w:rPr>
          <w:rFonts w:ascii="Arial" w:hAnsi="Arial" w:cs="Arial"/>
          <w:sz w:val="22"/>
          <w:szCs w:val="22"/>
        </w:rPr>
        <w:t xml:space="preserve"> (n= 418)</w:t>
      </w:r>
      <w:r w:rsidRPr="00374108">
        <w:rPr>
          <w:rFonts w:ascii="Arial" w:hAnsi="Arial" w:cs="Arial"/>
          <w:sz w:val="22"/>
          <w:szCs w:val="22"/>
        </w:rPr>
        <w:t xml:space="preserve">.    </w:t>
      </w:r>
    </w:p>
    <w:p w:rsidR="00F50ABE" w:rsidRDefault="00F50ABE" w:rsidP="00F50ABE">
      <w:pPr>
        <w:rPr>
          <w:rFonts w:ascii="Arial" w:hAnsi="Arial" w:cs="Arial"/>
          <w:b/>
          <w:sz w:val="22"/>
          <w:szCs w:val="22"/>
        </w:rPr>
      </w:pPr>
    </w:p>
    <w:p w:rsidR="00F50ABE" w:rsidRPr="00392ED0" w:rsidRDefault="00F50ABE" w:rsidP="00F50ABE">
      <w:pPr>
        <w:rPr>
          <w:rFonts w:ascii="Arial" w:hAnsi="Arial" w:cs="Arial"/>
          <w:b/>
          <w:sz w:val="22"/>
          <w:szCs w:val="22"/>
        </w:rPr>
      </w:pPr>
      <w:r>
        <w:rPr>
          <w:rFonts w:ascii="Arial" w:hAnsi="Arial" w:cs="Arial"/>
          <w:b/>
          <w:sz w:val="22"/>
          <w:szCs w:val="22"/>
        </w:rPr>
        <w:t xml:space="preserve">8 </w:t>
      </w:r>
      <w:r w:rsidRPr="00392ED0">
        <w:rPr>
          <w:rFonts w:ascii="Arial" w:hAnsi="Arial" w:cs="Arial"/>
          <w:b/>
          <w:sz w:val="22"/>
          <w:szCs w:val="22"/>
        </w:rPr>
        <w:t>FACILITATOR COMPETENCIES</w:t>
      </w:r>
    </w:p>
    <w:p w:rsidR="00F50ABE" w:rsidRPr="00392ED0" w:rsidRDefault="00F50ABE" w:rsidP="00F50ABE">
      <w:pPr>
        <w:rPr>
          <w:rFonts w:ascii="Arial" w:hAnsi="Arial" w:cs="Arial"/>
          <w:sz w:val="22"/>
          <w:szCs w:val="22"/>
        </w:rPr>
      </w:pPr>
      <w:r w:rsidRPr="00392ED0">
        <w:rPr>
          <w:rFonts w:ascii="Arial" w:hAnsi="Arial" w:cs="Arial"/>
          <w:sz w:val="22"/>
          <w:szCs w:val="22"/>
        </w:rPr>
        <w:t>Facilitators for the Changing Places programme should have some experience with group work and intervention work with young people.  They should be familiar with child protection practices and risk management frameworks.</w:t>
      </w:r>
    </w:p>
    <w:p w:rsidR="00F50ABE" w:rsidRPr="00392ED0" w:rsidRDefault="00F50ABE" w:rsidP="00F50ABE">
      <w:pPr>
        <w:rPr>
          <w:rFonts w:ascii="Arial" w:hAnsi="Arial" w:cs="Arial"/>
          <w:sz w:val="22"/>
          <w:szCs w:val="22"/>
        </w:rPr>
      </w:pPr>
      <w:r w:rsidRPr="00392ED0">
        <w:rPr>
          <w:rFonts w:ascii="Arial" w:hAnsi="Arial" w:cs="Arial"/>
          <w:sz w:val="22"/>
          <w:szCs w:val="22"/>
        </w:rPr>
        <w:lastRenderedPageBreak/>
        <w:t xml:space="preserve">Their practice should be subject to regular monitoring and review to help support their development of group work skills within the context of delivering the programme.  This is recommended at a rate no less than monthly supervision to review issues for participants, practice delivery, risk and progress assessment and personal skill development.  </w:t>
      </w:r>
    </w:p>
    <w:p w:rsidR="00F50ABE" w:rsidRPr="00392ED0" w:rsidRDefault="00F50ABE" w:rsidP="00F50ABE">
      <w:pPr>
        <w:rPr>
          <w:rFonts w:ascii="Arial" w:hAnsi="Arial" w:cs="Arial"/>
          <w:sz w:val="22"/>
          <w:szCs w:val="22"/>
        </w:rPr>
      </w:pPr>
      <w:r>
        <w:rPr>
          <w:rFonts w:ascii="Arial" w:hAnsi="Arial" w:cs="Arial"/>
          <w:sz w:val="22"/>
          <w:szCs w:val="22"/>
        </w:rPr>
        <w:t xml:space="preserve">Facilitators </w:t>
      </w:r>
      <w:r w:rsidRPr="00392ED0">
        <w:rPr>
          <w:rFonts w:ascii="Arial" w:hAnsi="Arial" w:cs="Arial"/>
          <w:sz w:val="22"/>
          <w:szCs w:val="22"/>
        </w:rPr>
        <w:t>should have a warm, empathic delivery style and should not be autocratic or dogmatic.    It is essential that they are able to engage with participants with positive regard, encouragement, and pro-social modelling.  These qualities are high-lighted and promoted during practice delivery on the facilitator training event.  Any issues identified will be fed back to managers via the training feedback and through monthly supervision of delivery staff.</w:t>
      </w:r>
    </w:p>
    <w:p w:rsidR="00F50ABE" w:rsidRDefault="00F50ABE" w:rsidP="00F50ABE">
      <w:pPr>
        <w:rPr>
          <w:rFonts w:ascii="Arial" w:hAnsi="Arial" w:cs="Arial"/>
          <w:b/>
          <w:sz w:val="22"/>
          <w:szCs w:val="22"/>
        </w:rPr>
      </w:pPr>
    </w:p>
    <w:p w:rsidR="00F50ABE" w:rsidRDefault="00F50ABE" w:rsidP="00F50ABE">
      <w:pPr>
        <w:spacing w:after="200" w:line="276" w:lineRule="auto"/>
        <w:rPr>
          <w:rFonts w:ascii="Arial" w:hAnsi="Arial" w:cs="Arial"/>
          <w:b/>
          <w:sz w:val="22"/>
          <w:szCs w:val="22"/>
        </w:rPr>
      </w:pPr>
      <w:r>
        <w:rPr>
          <w:rFonts w:ascii="Arial" w:hAnsi="Arial" w:cs="Arial"/>
          <w:b/>
          <w:sz w:val="22"/>
          <w:szCs w:val="22"/>
        </w:rPr>
        <w:t>9 EVALUATION OF THE IMPACT OF THE PROGRAMMES</w:t>
      </w:r>
    </w:p>
    <w:p w:rsidR="00F50ABE" w:rsidRPr="00051CE8" w:rsidRDefault="00F50ABE" w:rsidP="00F50ABE">
      <w:pPr>
        <w:rPr>
          <w:rFonts w:ascii="Arial" w:hAnsi="Arial" w:cs="Arial"/>
          <w:sz w:val="22"/>
          <w:szCs w:val="22"/>
        </w:rPr>
      </w:pPr>
      <w:r w:rsidRPr="00051CE8">
        <w:rPr>
          <w:rFonts w:ascii="Arial" w:hAnsi="Arial" w:cs="Arial"/>
          <w:sz w:val="22"/>
          <w:szCs w:val="22"/>
        </w:rPr>
        <w:t>Evaluation of Changing Places and Acorns has demonstrated improved attendance for participants (from 79% pre-intervention to 95% during the course), improved behaviour (a reduction of incidents in school of 96 incidents from 3 months prior to the programme to the 3 months during the programme) and an increase in academic achievement (an average of 11 points higher during the programme than in the 3 months prior).  Participants were found to make greatest improvements around reducing conduct disorder indicators and improving pro-social behaviour (SDQ outcomes).</w:t>
      </w:r>
    </w:p>
    <w:p w:rsidR="00F50ABE" w:rsidRPr="00392ED0" w:rsidRDefault="00F50ABE" w:rsidP="00F50ABE">
      <w:pPr>
        <w:spacing w:after="200" w:line="276" w:lineRule="auto"/>
        <w:rPr>
          <w:rFonts w:ascii="Arial" w:hAnsi="Arial" w:cs="Arial"/>
          <w:sz w:val="22"/>
          <w:szCs w:val="22"/>
        </w:rPr>
      </w:pPr>
      <w:r w:rsidRPr="00392ED0">
        <w:rPr>
          <w:rFonts w:ascii="Arial" w:hAnsi="Arial" w:cs="Arial"/>
          <w:sz w:val="22"/>
          <w:szCs w:val="22"/>
        </w:rPr>
        <w:t xml:space="preserve">Both Changing Places and Acorns have an excellent reputation for being effective and engaging. Parents and children were surveyed in 2009 during Connexions review of the Key Stage 4 engagement strategies in Northwich and Changing Places was rated highest of the pilot strategies adopted by the children who participated. </w:t>
      </w:r>
    </w:p>
    <w:p w:rsidR="00F50ABE" w:rsidRPr="00544EBF" w:rsidRDefault="00F50ABE" w:rsidP="00F50ABE">
      <w:pPr>
        <w:spacing w:after="200" w:line="276" w:lineRule="auto"/>
        <w:rPr>
          <w:rFonts w:ascii="Arial" w:hAnsi="Arial" w:cs="Arial"/>
          <w:sz w:val="22"/>
          <w:szCs w:val="22"/>
        </w:rPr>
      </w:pPr>
      <w:proofErr w:type="gramStart"/>
      <w:r w:rsidRPr="00544EBF">
        <w:rPr>
          <w:rFonts w:ascii="Arial" w:hAnsi="Arial" w:cs="Arial"/>
          <w:sz w:val="22"/>
          <w:szCs w:val="22"/>
        </w:rPr>
        <w:t>Children</w:t>
      </w:r>
      <w:proofErr w:type="gramEnd"/>
      <w:r w:rsidRPr="00544EBF">
        <w:rPr>
          <w:rFonts w:ascii="Arial" w:hAnsi="Arial" w:cs="Arial"/>
          <w:sz w:val="22"/>
          <w:szCs w:val="22"/>
        </w:rPr>
        <w:t xml:space="preserve"> who struggle to engage with mainstream lessons, have demonstrated excellent commitment and attendance to the programme sessions. Over the last five years of delivery</w:t>
      </w:r>
      <w:r>
        <w:rPr>
          <w:rFonts w:ascii="Arial" w:hAnsi="Arial" w:cs="Arial"/>
          <w:sz w:val="22"/>
          <w:szCs w:val="22"/>
        </w:rPr>
        <w:t xml:space="preserve"> within one service</w:t>
      </w:r>
      <w:r w:rsidRPr="00544EBF">
        <w:rPr>
          <w:rFonts w:ascii="Arial" w:hAnsi="Arial" w:cs="Arial"/>
          <w:sz w:val="22"/>
          <w:szCs w:val="22"/>
        </w:rPr>
        <w:t xml:space="preserve">, the programmes have a completion rate (from referral to programme end) of </w:t>
      </w:r>
      <w:r>
        <w:rPr>
          <w:rFonts w:ascii="Arial" w:hAnsi="Arial" w:cs="Arial"/>
          <w:sz w:val="22"/>
          <w:szCs w:val="22"/>
        </w:rPr>
        <w:t>7</w:t>
      </w:r>
      <w:r w:rsidRPr="00544EBF">
        <w:rPr>
          <w:rFonts w:ascii="Arial" w:hAnsi="Arial" w:cs="Arial"/>
          <w:sz w:val="22"/>
          <w:szCs w:val="22"/>
        </w:rPr>
        <w:t xml:space="preserve">2% and a retention rate of </w:t>
      </w:r>
      <w:r>
        <w:rPr>
          <w:rFonts w:ascii="Arial" w:hAnsi="Arial" w:cs="Arial"/>
          <w:sz w:val="22"/>
          <w:szCs w:val="22"/>
        </w:rPr>
        <w:t>85</w:t>
      </w:r>
      <w:r w:rsidRPr="00544EBF">
        <w:rPr>
          <w:rFonts w:ascii="Arial" w:hAnsi="Arial" w:cs="Arial"/>
          <w:sz w:val="22"/>
          <w:szCs w:val="22"/>
        </w:rPr>
        <w:t xml:space="preserve">% (from commencement to programme end). Empirical evidence suggests most intervention programmes have a completion and drop-out rate of approximately 50%. </w:t>
      </w:r>
    </w:p>
    <w:p w:rsidR="00F50ABE" w:rsidRDefault="00F50ABE" w:rsidP="00F50ABE">
      <w:pPr>
        <w:spacing w:after="200" w:line="276" w:lineRule="auto"/>
        <w:rPr>
          <w:rFonts w:ascii="Arial" w:hAnsi="Arial" w:cs="Arial"/>
          <w:sz w:val="22"/>
          <w:szCs w:val="22"/>
        </w:rPr>
      </w:pPr>
      <w:r w:rsidRPr="00544EBF">
        <w:rPr>
          <w:rFonts w:ascii="Arial" w:hAnsi="Arial" w:cs="Arial"/>
          <w:sz w:val="22"/>
          <w:szCs w:val="22"/>
        </w:rPr>
        <w:t>Feedback from parents has been overwhelmingly positive about the impact of the course. They have frequently reported that it has improved their relationship and communication with their child. Practitioners’ feedback indicates that the participants respond extremely well to the programmes.   A recent survey of YOS staff indicated that all trained staff felt the programme was beneficial and had a positive impact on their cases. For example, they reported parents approaching them to thank them specifically for the impact the programme had had on their child, in some cases describing them as “unrecognisable‟.</w:t>
      </w:r>
    </w:p>
    <w:p w:rsidR="005A4EC9" w:rsidRDefault="00F50ABE" w:rsidP="00F50ABE">
      <w:pPr>
        <w:spacing w:after="200" w:line="276" w:lineRule="auto"/>
      </w:pPr>
      <w:r>
        <w:rPr>
          <w:rFonts w:ascii="Arial" w:hAnsi="Arial" w:cs="Arial"/>
          <w:sz w:val="22"/>
          <w:szCs w:val="22"/>
        </w:rPr>
        <w:t xml:space="preserve">The programme is currently undergoing a 3 year longitudinal evaluation with the University of Liverpool to evaluate its long-term impact with children and young people.  All projects that begin delivery of the programme during the evaluation period (December 2014-December 2017) will be eligible to participate in the evaluation.  </w:t>
      </w:r>
    </w:p>
    <w:sectPr w:rsidR="005A4EC9">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Tahoma">
    <w:panose1 w:val="020B0604030504040204"/>
    <w:charset w:val="00"/>
    <w:family w:val="auto"/>
    <w:pitch w:val="variable"/>
    <w:sig w:usb0="E1002AFF" w:usb1="C000605B" w:usb2="00000029" w:usb3="00000000" w:csb0="000101F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ゴシック">
    <w:charset w:val="4E"/>
    <w:family w:val="auto"/>
    <w:pitch w:val="variable"/>
    <w:sig w:usb0="E00002FF" w:usb1="6AC7FDFB" w:usb2="00000012" w:usb3="00000000" w:csb0="0002009F" w:csb1="00000000"/>
  </w:font>
</w:font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2EE74A3"/>
    <w:multiLevelType w:val="hybridMultilevel"/>
    <w:tmpl w:val="D1345A72"/>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nsid w:val="17247AF7"/>
    <w:multiLevelType w:val="hybridMultilevel"/>
    <w:tmpl w:val="360A97E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nsid w:val="27616C73"/>
    <w:multiLevelType w:val="hybridMultilevel"/>
    <w:tmpl w:val="844E34DA"/>
    <w:lvl w:ilvl="0" w:tplc="08090001">
      <w:start w:val="1"/>
      <w:numFmt w:val="bullet"/>
      <w:lvlText w:val=""/>
      <w:lvlJc w:val="left"/>
      <w:pPr>
        <w:ind w:left="761" w:hanging="360"/>
      </w:pPr>
      <w:rPr>
        <w:rFonts w:ascii="Symbol" w:hAnsi="Symbol" w:hint="default"/>
      </w:rPr>
    </w:lvl>
    <w:lvl w:ilvl="1" w:tplc="08090003" w:tentative="1">
      <w:start w:val="1"/>
      <w:numFmt w:val="bullet"/>
      <w:lvlText w:val="o"/>
      <w:lvlJc w:val="left"/>
      <w:pPr>
        <w:ind w:left="1481" w:hanging="360"/>
      </w:pPr>
      <w:rPr>
        <w:rFonts w:ascii="Courier New" w:hAnsi="Courier New" w:cs="Courier New" w:hint="default"/>
      </w:rPr>
    </w:lvl>
    <w:lvl w:ilvl="2" w:tplc="08090005" w:tentative="1">
      <w:start w:val="1"/>
      <w:numFmt w:val="bullet"/>
      <w:lvlText w:val=""/>
      <w:lvlJc w:val="left"/>
      <w:pPr>
        <w:ind w:left="2201" w:hanging="360"/>
      </w:pPr>
      <w:rPr>
        <w:rFonts w:ascii="Wingdings" w:hAnsi="Wingdings" w:hint="default"/>
      </w:rPr>
    </w:lvl>
    <w:lvl w:ilvl="3" w:tplc="08090001" w:tentative="1">
      <w:start w:val="1"/>
      <w:numFmt w:val="bullet"/>
      <w:lvlText w:val=""/>
      <w:lvlJc w:val="left"/>
      <w:pPr>
        <w:ind w:left="2921" w:hanging="360"/>
      </w:pPr>
      <w:rPr>
        <w:rFonts w:ascii="Symbol" w:hAnsi="Symbol" w:hint="default"/>
      </w:rPr>
    </w:lvl>
    <w:lvl w:ilvl="4" w:tplc="08090003" w:tentative="1">
      <w:start w:val="1"/>
      <w:numFmt w:val="bullet"/>
      <w:lvlText w:val="o"/>
      <w:lvlJc w:val="left"/>
      <w:pPr>
        <w:ind w:left="3641" w:hanging="360"/>
      </w:pPr>
      <w:rPr>
        <w:rFonts w:ascii="Courier New" w:hAnsi="Courier New" w:cs="Courier New" w:hint="default"/>
      </w:rPr>
    </w:lvl>
    <w:lvl w:ilvl="5" w:tplc="08090005" w:tentative="1">
      <w:start w:val="1"/>
      <w:numFmt w:val="bullet"/>
      <w:lvlText w:val=""/>
      <w:lvlJc w:val="left"/>
      <w:pPr>
        <w:ind w:left="4361" w:hanging="360"/>
      </w:pPr>
      <w:rPr>
        <w:rFonts w:ascii="Wingdings" w:hAnsi="Wingdings" w:hint="default"/>
      </w:rPr>
    </w:lvl>
    <w:lvl w:ilvl="6" w:tplc="08090001" w:tentative="1">
      <w:start w:val="1"/>
      <w:numFmt w:val="bullet"/>
      <w:lvlText w:val=""/>
      <w:lvlJc w:val="left"/>
      <w:pPr>
        <w:ind w:left="5081" w:hanging="360"/>
      </w:pPr>
      <w:rPr>
        <w:rFonts w:ascii="Symbol" w:hAnsi="Symbol" w:hint="default"/>
      </w:rPr>
    </w:lvl>
    <w:lvl w:ilvl="7" w:tplc="08090003" w:tentative="1">
      <w:start w:val="1"/>
      <w:numFmt w:val="bullet"/>
      <w:lvlText w:val="o"/>
      <w:lvlJc w:val="left"/>
      <w:pPr>
        <w:ind w:left="5801" w:hanging="360"/>
      </w:pPr>
      <w:rPr>
        <w:rFonts w:ascii="Courier New" w:hAnsi="Courier New" w:cs="Courier New" w:hint="default"/>
      </w:rPr>
    </w:lvl>
    <w:lvl w:ilvl="8" w:tplc="08090005" w:tentative="1">
      <w:start w:val="1"/>
      <w:numFmt w:val="bullet"/>
      <w:lvlText w:val=""/>
      <w:lvlJc w:val="left"/>
      <w:pPr>
        <w:ind w:left="6521" w:hanging="360"/>
      </w:pPr>
      <w:rPr>
        <w:rFonts w:ascii="Wingdings" w:hAnsi="Wingdings" w:hint="default"/>
      </w:rPr>
    </w:lvl>
  </w:abstractNum>
  <w:abstractNum w:abstractNumId="3">
    <w:nsid w:val="310F379B"/>
    <w:multiLevelType w:val="hybridMultilevel"/>
    <w:tmpl w:val="D5C80D9A"/>
    <w:lvl w:ilvl="0" w:tplc="08090001">
      <w:start w:val="1"/>
      <w:numFmt w:val="bullet"/>
      <w:lvlText w:val=""/>
      <w:lvlJc w:val="left"/>
      <w:pPr>
        <w:ind w:left="761" w:hanging="360"/>
      </w:pPr>
      <w:rPr>
        <w:rFonts w:ascii="Symbol" w:hAnsi="Symbol" w:hint="default"/>
      </w:rPr>
    </w:lvl>
    <w:lvl w:ilvl="1" w:tplc="08090003" w:tentative="1">
      <w:start w:val="1"/>
      <w:numFmt w:val="bullet"/>
      <w:lvlText w:val="o"/>
      <w:lvlJc w:val="left"/>
      <w:pPr>
        <w:ind w:left="1481" w:hanging="360"/>
      </w:pPr>
      <w:rPr>
        <w:rFonts w:ascii="Courier New" w:hAnsi="Courier New" w:cs="Courier New" w:hint="default"/>
      </w:rPr>
    </w:lvl>
    <w:lvl w:ilvl="2" w:tplc="08090005" w:tentative="1">
      <w:start w:val="1"/>
      <w:numFmt w:val="bullet"/>
      <w:lvlText w:val=""/>
      <w:lvlJc w:val="left"/>
      <w:pPr>
        <w:ind w:left="2201" w:hanging="360"/>
      </w:pPr>
      <w:rPr>
        <w:rFonts w:ascii="Wingdings" w:hAnsi="Wingdings" w:hint="default"/>
      </w:rPr>
    </w:lvl>
    <w:lvl w:ilvl="3" w:tplc="08090001" w:tentative="1">
      <w:start w:val="1"/>
      <w:numFmt w:val="bullet"/>
      <w:lvlText w:val=""/>
      <w:lvlJc w:val="left"/>
      <w:pPr>
        <w:ind w:left="2921" w:hanging="360"/>
      </w:pPr>
      <w:rPr>
        <w:rFonts w:ascii="Symbol" w:hAnsi="Symbol" w:hint="default"/>
      </w:rPr>
    </w:lvl>
    <w:lvl w:ilvl="4" w:tplc="08090003" w:tentative="1">
      <w:start w:val="1"/>
      <w:numFmt w:val="bullet"/>
      <w:lvlText w:val="o"/>
      <w:lvlJc w:val="left"/>
      <w:pPr>
        <w:ind w:left="3641" w:hanging="360"/>
      </w:pPr>
      <w:rPr>
        <w:rFonts w:ascii="Courier New" w:hAnsi="Courier New" w:cs="Courier New" w:hint="default"/>
      </w:rPr>
    </w:lvl>
    <w:lvl w:ilvl="5" w:tplc="08090005" w:tentative="1">
      <w:start w:val="1"/>
      <w:numFmt w:val="bullet"/>
      <w:lvlText w:val=""/>
      <w:lvlJc w:val="left"/>
      <w:pPr>
        <w:ind w:left="4361" w:hanging="360"/>
      </w:pPr>
      <w:rPr>
        <w:rFonts w:ascii="Wingdings" w:hAnsi="Wingdings" w:hint="default"/>
      </w:rPr>
    </w:lvl>
    <w:lvl w:ilvl="6" w:tplc="08090001" w:tentative="1">
      <w:start w:val="1"/>
      <w:numFmt w:val="bullet"/>
      <w:lvlText w:val=""/>
      <w:lvlJc w:val="left"/>
      <w:pPr>
        <w:ind w:left="5081" w:hanging="360"/>
      </w:pPr>
      <w:rPr>
        <w:rFonts w:ascii="Symbol" w:hAnsi="Symbol" w:hint="default"/>
      </w:rPr>
    </w:lvl>
    <w:lvl w:ilvl="7" w:tplc="08090003" w:tentative="1">
      <w:start w:val="1"/>
      <w:numFmt w:val="bullet"/>
      <w:lvlText w:val="o"/>
      <w:lvlJc w:val="left"/>
      <w:pPr>
        <w:ind w:left="5801" w:hanging="360"/>
      </w:pPr>
      <w:rPr>
        <w:rFonts w:ascii="Courier New" w:hAnsi="Courier New" w:cs="Courier New" w:hint="default"/>
      </w:rPr>
    </w:lvl>
    <w:lvl w:ilvl="8" w:tplc="08090005" w:tentative="1">
      <w:start w:val="1"/>
      <w:numFmt w:val="bullet"/>
      <w:lvlText w:val=""/>
      <w:lvlJc w:val="left"/>
      <w:pPr>
        <w:ind w:left="6521" w:hanging="360"/>
      </w:pPr>
      <w:rPr>
        <w:rFonts w:ascii="Wingdings" w:hAnsi="Wingdings" w:hint="default"/>
      </w:rPr>
    </w:lvl>
  </w:abstractNum>
  <w:abstractNum w:abstractNumId="4">
    <w:nsid w:val="31814CDF"/>
    <w:multiLevelType w:val="hybridMultilevel"/>
    <w:tmpl w:val="A70CEC7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nsid w:val="47FD75FD"/>
    <w:multiLevelType w:val="hybridMultilevel"/>
    <w:tmpl w:val="8FB4913A"/>
    <w:lvl w:ilvl="0" w:tplc="08090011">
      <w:start w:val="1"/>
      <w:numFmt w:val="decimal"/>
      <w:lvlText w:val="%1)"/>
      <w:lvlJc w:val="left"/>
      <w:pPr>
        <w:ind w:left="720" w:hanging="360"/>
      </w:pPr>
      <w:rPr>
        <w:rFonts w:hint="default"/>
      </w:rPr>
    </w:lvl>
    <w:lvl w:ilvl="1" w:tplc="08090019">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6">
    <w:nsid w:val="50E81EEC"/>
    <w:multiLevelType w:val="hybridMultilevel"/>
    <w:tmpl w:val="ED740FF6"/>
    <w:lvl w:ilvl="0" w:tplc="08090001">
      <w:start w:val="1"/>
      <w:numFmt w:val="bullet"/>
      <w:lvlText w:val=""/>
      <w:lvlJc w:val="left"/>
      <w:pPr>
        <w:ind w:left="1440" w:hanging="360"/>
      </w:pPr>
      <w:rPr>
        <w:rFonts w:ascii="Symbol" w:hAnsi="Symbol" w:hint="default"/>
      </w:rPr>
    </w:lvl>
    <w:lvl w:ilvl="1" w:tplc="08090003" w:tentative="1">
      <w:start w:val="1"/>
      <w:numFmt w:val="bullet"/>
      <w:lvlText w:val="o"/>
      <w:lvlJc w:val="left"/>
      <w:pPr>
        <w:ind w:left="2160" w:hanging="360"/>
      </w:pPr>
      <w:rPr>
        <w:rFonts w:ascii="Courier New" w:hAnsi="Courier New" w:cs="Courier New" w:hint="default"/>
      </w:rPr>
    </w:lvl>
    <w:lvl w:ilvl="2" w:tplc="08090005" w:tentative="1">
      <w:start w:val="1"/>
      <w:numFmt w:val="bullet"/>
      <w:lvlText w:val=""/>
      <w:lvlJc w:val="left"/>
      <w:pPr>
        <w:ind w:left="2880" w:hanging="360"/>
      </w:pPr>
      <w:rPr>
        <w:rFonts w:ascii="Wingdings" w:hAnsi="Wingdings" w:hint="default"/>
      </w:rPr>
    </w:lvl>
    <w:lvl w:ilvl="3" w:tplc="08090001" w:tentative="1">
      <w:start w:val="1"/>
      <w:numFmt w:val="bullet"/>
      <w:lvlText w:val=""/>
      <w:lvlJc w:val="left"/>
      <w:pPr>
        <w:ind w:left="3600" w:hanging="360"/>
      </w:pPr>
      <w:rPr>
        <w:rFonts w:ascii="Symbol" w:hAnsi="Symbol" w:hint="default"/>
      </w:rPr>
    </w:lvl>
    <w:lvl w:ilvl="4" w:tplc="08090003" w:tentative="1">
      <w:start w:val="1"/>
      <w:numFmt w:val="bullet"/>
      <w:lvlText w:val="o"/>
      <w:lvlJc w:val="left"/>
      <w:pPr>
        <w:ind w:left="4320" w:hanging="360"/>
      </w:pPr>
      <w:rPr>
        <w:rFonts w:ascii="Courier New" w:hAnsi="Courier New" w:cs="Courier New" w:hint="default"/>
      </w:rPr>
    </w:lvl>
    <w:lvl w:ilvl="5" w:tplc="08090005" w:tentative="1">
      <w:start w:val="1"/>
      <w:numFmt w:val="bullet"/>
      <w:lvlText w:val=""/>
      <w:lvlJc w:val="left"/>
      <w:pPr>
        <w:ind w:left="5040" w:hanging="360"/>
      </w:pPr>
      <w:rPr>
        <w:rFonts w:ascii="Wingdings" w:hAnsi="Wingdings" w:hint="default"/>
      </w:rPr>
    </w:lvl>
    <w:lvl w:ilvl="6" w:tplc="08090001" w:tentative="1">
      <w:start w:val="1"/>
      <w:numFmt w:val="bullet"/>
      <w:lvlText w:val=""/>
      <w:lvlJc w:val="left"/>
      <w:pPr>
        <w:ind w:left="5760" w:hanging="360"/>
      </w:pPr>
      <w:rPr>
        <w:rFonts w:ascii="Symbol" w:hAnsi="Symbol" w:hint="default"/>
      </w:rPr>
    </w:lvl>
    <w:lvl w:ilvl="7" w:tplc="08090003" w:tentative="1">
      <w:start w:val="1"/>
      <w:numFmt w:val="bullet"/>
      <w:lvlText w:val="o"/>
      <w:lvlJc w:val="left"/>
      <w:pPr>
        <w:ind w:left="6480" w:hanging="360"/>
      </w:pPr>
      <w:rPr>
        <w:rFonts w:ascii="Courier New" w:hAnsi="Courier New" w:cs="Courier New" w:hint="default"/>
      </w:rPr>
    </w:lvl>
    <w:lvl w:ilvl="8" w:tplc="08090005" w:tentative="1">
      <w:start w:val="1"/>
      <w:numFmt w:val="bullet"/>
      <w:lvlText w:val=""/>
      <w:lvlJc w:val="left"/>
      <w:pPr>
        <w:ind w:left="7200" w:hanging="360"/>
      </w:pPr>
      <w:rPr>
        <w:rFonts w:ascii="Wingdings" w:hAnsi="Wingdings" w:hint="default"/>
      </w:rPr>
    </w:lvl>
  </w:abstractNum>
  <w:abstractNum w:abstractNumId="7">
    <w:nsid w:val="7C494F37"/>
    <w:multiLevelType w:val="hybridMultilevel"/>
    <w:tmpl w:val="4D74C98E"/>
    <w:lvl w:ilvl="0" w:tplc="08090001">
      <w:start w:val="1"/>
      <w:numFmt w:val="bullet"/>
      <w:lvlText w:val=""/>
      <w:lvlJc w:val="left"/>
      <w:pPr>
        <w:ind w:left="1080" w:hanging="360"/>
      </w:pPr>
      <w:rPr>
        <w:rFonts w:ascii="Symbol" w:hAnsi="Symbo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num w:numId="1">
    <w:abstractNumId w:val="1"/>
  </w:num>
  <w:num w:numId="2">
    <w:abstractNumId w:val="0"/>
  </w:num>
  <w:num w:numId="3">
    <w:abstractNumId w:val="3"/>
  </w:num>
  <w:num w:numId="4">
    <w:abstractNumId w:val="6"/>
  </w:num>
  <w:num w:numId="5">
    <w:abstractNumId w:val="5"/>
  </w:num>
  <w:num w:numId="6">
    <w:abstractNumId w:val="2"/>
  </w:num>
  <w:num w:numId="7">
    <w:abstractNumId w:val="4"/>
  </w:num>
  <w:num w:numId="8">
    <w:abstractNumId w:val="7"/>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50ABE"/>
    <w:rsid w:val="005A4EC9"/>
    <w:rsid w:val="00683CEA"/>
    <w:rsid w:val="0076297C"/>
    <w:rsid w:val="00F50ABE"/>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50ABE"/>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50ABE"/>
    <w:pPr>
      <w:ind w:left="720"/>
      <w:contextualSpacing/>
    </w:pPr>
  </w:style>
  <w:style w:type="paragraph" w:styleId="BalloonText">
    <w:name w:val="Balloon Text"/>
    <w:basedOn w:val="Normal"/>
    <w:link w:val="BalloonTextChar"/>
    <w:uiPriority w:val="99"/>
    <w:semiHidden/>
    <w:unhideWhenUsed/>
    <w:rsid w:val="00F50ABE"/>
    <w:rPr>
      <w:rFonts w:ascii="Tahoma" w:hAnsi="Tahoma" w:cs="Tahoma"/>
      <w:sz w:val="16"/>
      <w:szCs w:val="16"/>
    </w:rPr>
  </w:style>
  <w:style w:type="character" w:customStyle="1" w:styleId="BalloonTextChar">
    <w:name w:val="Balloon Text Char"/>
    <w:basedOn w:val="DefaultParagraphFont"/>
    <w:link w:val="BalloonText"/>
    <w:uiPriority w:val="99"/>
    <w:semiHidden/>
    <w:rsid w:val="00F50ABE"/>
    <w:rPr>
      <w:rFonts w:ascii="Tahoma" w:eastAsia="Times New Roman" w:hAnsi="Tahoma" w:cs="Tahoma"/>
      <w:sz w:val="16"/>
      <w:szCs w:val="16"/>
      <w:lang w:eastAsia="en-GB"/>
    </w:rPr>
  </w:style>
  <w:style w:type="paragraph" w:styleId="NoSpacing">
    <w:name w:val="No Spacing"/>
    <w:link w:val="NoSpacingChar"/>
    <w:uiPriority w:val="1"/>
    <w:qFormat/>
    <w:rsid w:val="00F50ABE"/>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F50ABE"/>
    <w:rPr>
      <w:rFonts w:eastAsiaTheme="minorEastAsia"/>
      <w:lang w:val="en-US"/>
    </w:rPr>
  </w:style>
  <w:style w:type="character" w:styleId="Hyperlink">
    <w:name w:val="Hyperlink"/>
    <w:basedOn w:val="DefaultParagraphFont"/>
    <w:uiPriority w:val="99"/>
    <w:unhideWhenUsed/>
    <w:rsid w:val="00F50ABE"/>
    <w:rPr>
      <w:color w:val="0000FF" w:themeColor="hyperlink"/>
      <w:u w:val="single"/>
    </w:r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GB" w:eastAsia="en-US"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F50ABE"/>
    <w:pPr>
      <w:spacing w:after="0" w:line="240" w:lineRule="auto"/>
    </w:pPr>
    <w:rPr>
      <w:rFonts w:ascii="Times New Roman" w:eastAsia="Times New Roman" w:hAnsi="Times New Roman" w:cs="Times New Roman"/>
      <w:sz w:val="24"/>
      <w:szCs w:val="24"/>
      <w:lang w:eastAsia="en-GB"/>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F50ABE"/>
    <w:pPr>
      <w:ind w:left="720"/>
      <w:contextualSpacing/>
    </w:pPr>
  </w:style>
  <w:style w:type="paragraph" w:styleId="BalloonText">
    <w:name w:val="Balloon Text"/>
    <w:basedOn w:val="Normal"/>
    <w:link w:val="BalloonTextChar"/>
    <w:uiPriority w:val="99"/>
    <w:semiHidden/>
    <w:unhideWhenUsed/>
    <w:rsid w:val="00F50ABE"/>
    <w:rPr>
      <w:rFonts w:ascii="Tahoma" w:hAnsi="Tahoma" w:cs="Tahoma"/>
      <w:sz w:val="16"/>
      <w:szCs w:val="16"/>
    </w:rPr>
  </w:style>
  <w:style w:type="character" w:customStyle="1" w:styleId="BalloonTextChar">
    <w:name w:val="Balloon Text Char"/>
    <w:basedOn w:val="DefaultParagraphFont"/>
    <w:link w:val="BalloonText"/>
    <w:uiPriority w:val="99"/>
    <w:semiHidden/>
    <w:rsid w:val="00F50ABE"/>
    <w:rPr>
      <w:rFonts w:ascii="Tahoma" w:eastAsia="Times New Roman" w:hAnsi="Tahoma" w:cs="Tahoma"/>
      <w:sz w:val="16"/>
      <w:szCs w:val="16"/>
      <w:lang w:eastAsia="en-GB"/>
    </w:rPr>
  </w:style>
  <w:style w:type="paragraph" w:styleId="NoSpacing">
    <w:name w:val="No Spacing"/>
    <w:link w:val="NoSpacingChar"/>
    <w:uiPriority w:val="1"/>
    <w:qFormat/>
    <w:rsid w:val="00F50ABE"/>
    <w:pPr>
      <w:spacing w:after="0" w:line="240" w:lineRule="auto"/>
    </w:pPr>
    <w:rPr>
      <w:rFonts w:eastAsiaTheme="minorEastAsia"/>
      <w:lang w:val="en-US"/>
    </w:rPr>
  </w:style>
  <w:style w:type="character" w:customStyle="1" w:styleId="NoSpacingChar">
    <w:name w:val="No Spacing Char"/>
    <w:basedOn w:val="DefaultParagraphFont"/>
    <w:link w:val="NoSpacing"/>
    <w:uiPriority w:val="1"/>
    <w:rsid w:val="00F50ABE"/>
    <w:rPr>
      <w:rFonts w:eastAsiaTheme="minorEastAsia"/>
      <w:lang w:val="en-US"/>
    </w:rPr>
  </w:style>
  <w:style w:type="character" w:styleId="Hyperlink">
    <w:name w:val="Hyperlink"/>
    <w:basedOn w:val="DefaultParagraphFont"/>
    <w:uiPriority w:val="99"/>
    <w:unhideWhenUsed/>
    <w:rsid w:val="00F50ABE"/>
    <w:rPr>
      <w:color w:val="0000FF" w:themeColor="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_rels/document.xml.rels><?xml version="1.0" encoding="UTF-8" standalone="yes"?>
<Relationships xmlns="http://schemas.openxmlformats.org/package/2006/relationships"><Relationship Id="rId11" Type="http://schemas.microsoft.com/office/2007/relationships/diagramDrawing" Target="diagrams/drawing1.xml"/><Relationship Id="rId12" Type="http://schemas.openxmlformats.org/officeDocument/2006/relationships/fontTable" Target="fontTable.xml"/><Relationship Id="rId13" Type="http://schemas.openxmlformats.org/officeDocument/2006/relationships/glossaryDocument" Target="glossary/document.xml"/><Relationship Id="rId14" Type="http://schemas.openxmlformats.org/officeDocument/2006/relationships/theme" Target="theme/theme1.xml"/><Relationship Id="rId1" Type="http://schemas.openxmlformats.org/officeDocument/2006/relationships/numbering" Target="numbering.xml"/><Relationship Id="rId2" Type="http://schemas.openxmlformats.org/officeDocument/2006/relationships/styles" Target="styles.xml"/><Relationship Id="rId3" Type="http://schemas.microsoft.com/office/2007/relationships/stylesWithEffects" Target="stylesWithEffects.xml"/><Relationship Id="rId4" Type="http://schemas.openxmlformats.org/officeDocument/2006/relationships/settings" Target="settings.xml"/><Relationship Id="rId5" Type="http://schemas.openxmlformats.org/officeDocument/2006/relationships/webSettings" Target="webSettings.xml"/><Relationship Id="rId6" Type="http://schemas.openxmlformats.org/officeDocument/2006/relationships/hyperlink" Target="mailto:alisone638@sky.com" TargetMode="External"/><Relationship Id="rId7" Type="http://schemas.openxmlformats.org/officeDocument/2006/relationships/diagramData" Target="diagrams/data1.xml"/><Relationship Id="rId8" Type="http://schemas.openxmlformats.org/officeDocument/2006/relationships/diagramLayout" Target="diagrams/layout1.xml"/><Relationship Id="rId9" Type="http://schemas.openxmlformats.org/officeDocument/2006/relationships/diagramQuickStyle" Target="diagrams/quickStyle1.xml"/><Relationship Id="rId10" Type="http://schemas.openxmlformats.org/officeDocument/2006/relationships/diagramColors" Target="diagrams/colors1.xml"/></Relationships>
</file>

<file path=word/diagrams/colors1.xml><?xml version="1.0" encoding="utf-8"?>
<dgm:colorsDef xmlns:dgm="http://schemas.openxmlformats.org/drawingml/2006/diagram" xmlns:a="http://schemas.openxmlformats.org/drawingml/2006/main" uniqueId="urn:microsoft.com/office/officeart/2005/8/colors/colorful1#1">
  <dgm:title val=""/>
  <dgm:desc val=""/>
  <dgm:catLst>
    <dgm:cat type="colorful" pri="10100"/>
  </dgm:catLst>
  <dgm:styleLbl name="node0">
    <dgm:fillClrLst meth="repeat">
      <a:schemeClr val="accent1"/>
    </dgm:fillClrLst>
    <dgm:linClrLst meth="repeat">
      <a:schemeClr val="lt1"/>
    </dgm:linClrLst>
    <dgm:effectClrLst/>
    <dgm:txLinClrLst/>
    <dgm:txFillClrLst/>
    <dgm:txEffectClrLst/>
  </dgm:styleLbl>
  <dgm:styleLbl name="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alignNode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dgm:txEffectClrLst/>
  </dgm:styleLbl>
  <dgm:styleLbl name="lnNode1">
    <dgm:fillClrLst meth="repeat">
      <a:schemeClr val="accent2"/>
      <a:schemeClr val="accent3"/>
      <a:schemeClr val="accent4"/>
      <a:schemeClr val="accent5"/>
      <a:schemeClr val="accent6"/>
    </dgm:fillClrLst>
    <dgm:linClrLst meth="repeat">
      <a:schemeClr val="lt1"/>
    </dgm:linClrLst>
    <dgm:effectClrLst/>
    <dgm:txLinClrLst/>
    <dgm:txFillClrLst/>
    <dgm:txEffectClrLst/>
  </dgm:styleLbl>
  <dgm:styleLbl name="vennNode1">
    <dgm:fillClrLst meth="repeat">
      <a:schemeClr val="accent2">
        <a:alpha val="50000"/>
      </a:schemeClr>
      <a:schemeClr val="accent3">
        <a:alpha val="50000"/>
      </a:schemeClr>
      <a:schemeClr val="accent4">
        <a:alpha val="50000"/>
      </a:schemeClr>
      <a:schemeClr val="accent5">
        <a:alpha val="50000"/>
      </a:schemeClr>
      <a:schemeClr val="accent6">
        <a:alpha val="50000"/>
      </a:schemeClr>
    </dgm:fillClrLst>
    <dgm:linClrLst meth="repeat">
      <a:schemeClr val="lt1"/>
    </dgm:linClrLst>
    <dgm:effectClrLst/>
    <dgm:txLinClrLst/>
    <dgm:txFillClrLst/>
    <dgm:txEffectClrLst/>
  </dgm:styleLbl>
  <dgm:styleLbl name="node2">
    <dgm:fillClrLst>
      <a:schemeClr val="accent2"/>
    </dgm:fillClrLst>
    <dgm:linClrLst meth="repeat">
      <a:schemeClr val="lt1"/>
    </dgm:linClrLst>
    <dgm:effectClrLst/>
    <dgm:txLinClrLst/>
    <dgm:txFillClrLst/>
    <dgm:txEffectClrLst/>
  </dgm:styleLbl>
  <dgm:styleLbl name="node3">
    <dgm:fillClrLst>
      <a:schemeClr val="accent3"/>
    </dgm:fillClrLst>
    <dgm:linClrLst meth="repeat">
      <a:schemeClr val="lt1"/>
    </dgm:linClrLst>
    <dgm:effectClrLst/>
    <dgm:txLinClrLst/>
    <dgm:txFillClrLst/>
    <dgm:txEffectClrLst/>
  </dgm:styleLbl>
  <dgm:styleLbl name="node4">
    <dgm:fillClrLst>
      <a:schemeClr val="accent4"/>
    </dgm:fillClrLst>
    <dgm:linClrLst meth="repeat">
      <a:schemeClr val="lt1"/>
    </dgm:linClrLst>
    <dgm:effectClrLst/>
    <dgm:txLinClrLst/>
    <dgm:txFillClrLst/>
    <dgm:txEffectClrLst/>
  </dgm:styleLbl>
  <dgm:styleLbl name="fgImgPlace1">
    <dgm:fillClrLst meth="repeat">
      <a:schemeClr val="accent2">
        <a:tint val="50000"/>
      </a:schemeClr>
      <a:schemeClr val="accent3">
        <a:tint val="50000"/>
      </a:schemeClr>
      <a:schemeClr val="accent4">
        <a:tint val="50000"/>
      </a:schemeClr>
      <a:schemeClr val="accent5">
        <a:tint val="50000"/>
      </a:schemeClr>
      <a:schemeClr val="accent6">
        <a:tint val="50000"/>
      </a:schemeClr>
    </dgm:fillClrLst>
    <dgm:linClrLst meth="repeat">
      <a:schemeClr val="lt1"/>
    </dgm:linClrLst>
    <dgm:effectClrLst/>
    <dgm:txLinClrLst/>
    <dgm:txFillClrLst meth="repeat">
      <a:schemeClr val="lt1"/>
    </dgm:txFillClrLst>
    <dgm:txEffectClrLst/>
  </dgm:styleLbl>
  <dgm:styleLbl name="align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bgImgPlace1">
    <dgm:fillClrLst>
      <a:schemeClr val="accent1">
        <a:tint val="50000"/>
      </a:schemeClr>
      <a:schemeClr val="accent2">
        <a:tint val="20000"/>
      </a:schemeClr>
    </dgm:fillClrLst>
    <dgm:linClrLst meth="repeat">
      <a:schemeClr val="lt1"/>
    </dgm:linClrLst>
    <dgm:effectClrLst/>
    <dgm:txLinClrLst/>
    <dgm:txFillClrLst meth="repeat">
      <a:schemeClr val="lt1"/>
    </dgm:txFillClrLst>
    <dgm:txEffectClrLst/>
  </dgm:styleLbl>
  <dgm:styleLbl name="sibTrans2D1">
    <dgm:fillClrLst meth="repeat">
      <a:schemeClr val="accent2"/>
      <a:schemeClr val="accent3"/>
      <a:schemeClr val="accent4"/>
      <a:schemeClr val="accent5"/>
      <a:schemeClr val="accent6"/>
    </dgm:fillClrLst>
    <dgm:linClrLst meth="cycle">
      <a:schemeClr val="lt1"/>
    </dgm:linClrLst>
    <dgm:effectClrLst/>
    <dgm:txLinClrLst/>
    <dgm:txFillClrLst/>
    <dgm:txEffectClrLst/>
  </dgm:styleLbl>
  <dgm:styleLbl name="f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bgSibTrans2D1">
    <dgm:fillClrLst meth="repeat">
      <a:schemeClr val="accent2"/>
      <a:schemeClr val="accent3"/>
      <a:schemeClr val="accent4"/>
      <a:schemeClr val="accent5"/>
      <a:schemeClr val="accent6"/>
    </dgm:fillClrLst>
    <dgm:linClrLst meth="cycle">
      <a:schemeClr val="lt1"/>
    </dgm:linClrLst>
    <dgm:effectClrLst/>
    <dgm:txLinClrLst/>
    <dgm:txFillClrLst meth="repeat">
      <a:schemeClr val="lt1"/>
    </dgm:txFillClrLst>
    <dgm:txEffectClrLst/>
  </dgm:styleLbl>
  <dgm:styleLbl name="sibTrans1D1">
    <dgm:fillClrLst meth="repeat">
      <a:schemeClr val="accent2"/>
      <a:schemeClr val="accent3"/>
      <a:schemeClr val="accent4"/>
      <a:schemeClr val="accent5"/>
      <a:schemeClr val="accent6"/>
    </dgm:fillClrLst>
    <dgm:linClrLst meth="repeat">
      <a:schemeClr val="accent2"/>
      <a:schemeClr val="accent3"/>
      <a:schemeClr val="accent4"/>
      <a:schemeClr val="accent5"/>
      <a:schemeClr val="accent6"/>
    </dgm:linClrLst>
    <dgm:effectClrLst/>
    <dgm:txLinClrLst/>
    <dgm:txFillClrLst meth="repeat">
      <a:schemeClr val="tx1"/>
    </dgm:txFillClrLst>
    <dgm:txEffectClrLst/>
  </dgm:styleLbl>
  <dgm:styleLbl name="callout">
    <dgm:fillClrLst meth="repeat">
      <a:schemeClr val="accent2"/>
    </dgm:fillClrLst>
    <dgm:linClrLst meth="repeat">
      <a:schemeClr val="accent2">
        <a:tint val="50000"/>
      </a:schemeClr>
    </dgm:linClrLst>
    <dgm:effectClrLst/>
    <dgm:txLinClrLst/>
    <dgm:txFillClrLst meth="repeat">
      <a:schemeClr val="tx1"/>
    </dgm:txFillClrLst>
    <dgm:txEffectClrLst/>
  </dgm:styleLbl>
  <dgm:styleLbl name="asst0">
    <dgm:fillClrLst meth="repeat">
      <a:schemeClr val="accent1"/>
    </dgm:fillClrLst>
    <dgm:linClrLst meth="repeat">
      <a:schemeClr val="lt1"/>
    </dgm:linClrLst>
    <dgm:effectClrLst/>
    <dgm:txLinClrLst/>
    <dgm:txFillClrLst/>
    <dgm:txEffectClrLst/>
  </dgm:styleLbl>
  <dgm:styleLbl name="asst1">
    <dgm:fillClrLst meth="repeat">
      <a:schemeClr val="accent2"/>
    </dgm:fillClrLst>
    <dgm:linClrLst meth="repeat">
      <a:schemeClr val="lt1"/>
    </dgm:linClrLst>
    <dgm:effectClrLst/>
    <dgm:txLinClrLst/>
    <dgm:txFillClrLst/>
    <dgm:txEffectClrLst/>
  </dgm:styleLbl>
  <dgm:styleLbl name="asst2">
    <dgm:fillClrLst>
      <a:schemeClr val="accent3"/>
    </dgm:fillClrLst>
    <dgm:linClrLst meth="repeat">
      <a:schemeClr val="lt1"/>
    </dgm:linClrLst>
    <dgm:effectClrLst/>
    <dgm:txLinClrLst/>
    <dgm:txFillClrLst/>
    <dgm:txEffectClrLst/>
  </dgm:styleLbl>
  <dgm:styleLbl name="asst3">
    <dgm:fillClrLst>
      <a:schemeClr val="accent4"/>
    </dgm:fillClrLst>
    <dgm:linClrLst meth="repeat">
      <a:schemeClr val="lt1"/>
    </dgm:linClrLst>
    <dgm:effectClrLst/>
    <dgm:txLinClrLst/>
    <dgm:txFillClrLst/>
    <dgm:txEffectClrLst/>
  </dgm:styleLbl>
  <dgm:styleLbl name="asst4">
    <dgm:fillClrLst>
      <a:schemeClr val="accent5"/>
    </dgm:fillClrLst>
    <dgm:linClrLst meth="repeat">
      <a:schemeClr val="lt1"/>
    </dgm:linClrLst>
    <dgm:effectClrLst/>
    <dgm:txLinClrLst/>
    <dgm:txFillClrLst/>
    <dgm:txEffectClrLst/>
  </dgm:styleLbl>
  <dgm:styleLbl name="parChTrans2D1">
    <dgm:fillClrLst meth="repeat">
      <a:schemeClr val="accent2"/>
    </dgm:fillClrLst>
    <dgm:linClrLst meth="repeat">
      <a:schemeClr val="lt1"/>
    </dgm:linClrLst>
    <dgm:effectClrLst/>
    <dgm:txLinClrLst/>
    <dgm:txFillClrLst meth="repeat">
      <a:schemeClr val="lt1"/>
    </dgm:txFillClrLst>
    <dgm:txEffectClrLst/>
  </dgm:styleLbl>
  <dgm:styleLbl name="parChTrans2D2">
    <dgm:fillClrLst meth="repeat">
      <a:schemeClr val="accent3"/>
    </dgm:fillClrLst>
    <dgm:linClrLst meth="repeat">
      <a:schemeClr val="lt1"/>
    </dgm:linClrLst>
    <dgm:effectClrLst/>
    <dgm:txLinClrLst/>
    <dgm:txFillClrLst/>
    <dgm:txEffectClrLst/>
  </dgm:styleLbl>
  <dgm:styleLbl name="parChTrans2D3">
    <dgm:fillClrLst meth="repeat">
      <a:schemeClr val="accent4"/>
    </dgm:fillClrLst>
    <dgm:linClrLst meth="repeat">
      <a:schemeClr val="lt1"/>
    </dgm:linClrLst>
    <dgm:effectClrLst/>
    <dgm:txLinClrLst/>
    <dgm:txFillClrLst/>
    <dgm:txEffectClrLst/>
  </dgm:styleLbl>
  <dgm:styleLbl name="parChTrans2D4">
    <dgm:fillClrLst meth="repeat">
      <a:schemeClr val="accent5"/>
    </dgm:fillClrLst>
    <dgm:linClrLst meth="repeat">
      <a:schemeClr val="lt1"/>
    </dgm:linClrLst>
    <dgm:effectClrLst/>
    <dgm:txLinClrLst/>
    <dgm:txFillClrLst meth="repeat">
      <a:schemeClr val="lt1"/>
    </dgm:txFillClrLst>
    <dgm:txEffectClrLst/>
  </dgm:styleLbl>
  <dgm:styleLbl name="parChTrans1D1">
    <dgm:fillClrLst meth="repeat">
      <a:schemeClr val="accent2"/>
    </dgm:fillClrLst>
    <dgm:linClrLst meth="repeat">
      <a:schemeClr val="accent1"/>
    </dgm:linClrLst>
    <dgm:effectClrLst/>
    <dgm:txLinClrLst/>
    <dgm:txFillClrLst meth="repeat">
      <a:schemeClr val="tx1"/>
    </dgm:txFillClrLst>
    <dgm:txEffectClrLst/>
  </dgm:styleLbl>
  <dgm:styleLbl name="parChTrans1D2">
    <dgm:fillClrLst meth="repeat">
      <a:schemeClr val="accent3">
        <a:tint val="90000"/>
      </a:schemeClr>
    </dgm:fillClrLst>
    <dgm:linClrLst meth="repeat">
      <a:schemeClr val="accent2"/>
    </dgm:linClrLst>
    <dgm:effectClrLst/>
    <dgm:txLinClrLst/>
    <dgm:txFillClrLst meth="repeat">
      <a:schemeClr val="tx1"/>
    </dgm:txFillClrLst>
    <dgm:txEffectClrLst/>
  </dgm:styleLbl>
  <dgm:styleLbl name="parChTrans1D3">
    <dgm:fillClrLst meth="repeat">
      <a:schemeClr val="accent4">
        <a:tint val="70000"/>
      </a:schemeClr>
    </dgm:fillClrLst>
    <dgm:linClrLst meth="repeat">
      <a:schemeClr val="accent3"/>
    </dgm:linClrLst>
    <dgm:effectClrLst/>
    <dgm:txLinClrLst/>
    <dgm:txFillClrLst meth="repeat">
      <a:schemeClr val="tx1"/>
    </dgm:txFillClrLst>
    <dgm:txEffectClrLst/>
  </dgm:styleLbl>
  <dgm:styleLbl name="parChTrans1D4">
    <dgm:fillClrLst meth="repeat">
      <a:schemeClr val="accent5">
        <a:tint val="50000"/>
      </a:schemeClr>
    </dgm:fillClrLst>
    <dgm:linClrLst meth="repeat">
      <a:schemeClr val="accent4"/>
    </dgm:linClrLst>
    <dgm:effectClrLst/>
    <dgm:txLinClrLst/>
    <dgm:txFillClrLst meth="repeat">
      <a:schemeClr val="tx1"/>
    </dgm:txFillClrLst>
    <dgm:txEffectClrLst/>
  </dgm:styleLbl>
  <dgm:styleLbl name="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conF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align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trAlignAcc1">
    <dgm:fillClrLst meth="repeat">
      <a:schemeClr val="lt1">
        <a:alpha val="40000"/>
      </a:schemeClr>
    </dgm:fillClrLst>
    <dgm:linClrLst meth="repeat">
      <a:schemeClr val="accent1"/>
    </dgm:linClrLst>
    <dgm:effectClrLst/>
    <dgm:txLinClrLst/>
    <dgm:txFillClrLst meth="repeat">
      <a:schemeClr val="dk1"/>
    </dgm:txFillClrLst>
    <dgm:txEffectClrLst/>
  </dgm:styleLbl>
  <dgm:styleLbl name="bgAcc1">
    <dgm:fillClrLst meth="repeat">
      <a:schemeClr val="lt1">
        <a:alpha val="90000"/>
      </a:schemeClr>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F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Align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solidBgAcc1">
    <dgm:fillClrLst meth="repeat">
      <a:schemeClr val="lt1"/>
    </dgm:fillClrLst>
    <dgm:linClrLst meth="repeat">
      <a:schemeClr val="accent2"/>
      <a:schemeClr val="accent3"/>
      <a:schemeClr val="accent4"/>
      <a:schemeClr val="accent5"/>
      <a:schemeClr val="accent6"/>
    </dgm:linClrLst>
    <dgm:effectClrLst/>
    <dgm:txLinClrLst/>
    <dgm:txFillClrLst meth="repeat">
      <a:schemeClr val="dk1"/>
    </dgm:txFillClrLst>
    <dgm:txEffectClrLst/>
  </dgm:styleLbl>
  <dgm:styleLbl name="f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align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bgAccFollowNode1">
    <dgm:fill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fillClrLst>
    <dgm:linClrLst meth="repeat">
      <a:schemeClr val="accent2">
        <a:tint val="40000"/>
        <a:alpha val="90000"/>
      </a:schemeClr>
      <a:schemeClr val="accent3">
        <a:tint val="40000"/>
        <a:alpha val="90000"/>
      </a:schemeClr>
      <a:schemeClr val="accent4">
        <a:tint val="40000"/>
        <a:alpha val="90000"/>
      </a:schemeClr>
      <a:schemeClr val="accent5">
        <a:tint val="40000"/>
        <a:alpha val="90000"/>
      </a:schemeClr>
      <a:schemeClr val="accent6">
        <a:tint val="40000"/>
        <a:alpha val="90000"/>
      </a:schemeClr>
    </dgm:linClrLst>
    <dgm:effectClrLst/>
    <dgm:txLinClrLst/>
    <dgm:txFillClrLst meth="repeat">
      <a:schemeClr val="dk1"/>
    </dgm:txFillClrLst>
    <dgm:txEffectClrLst/>
  </dgm:styleLbl>
  <dgm:styleLbl name="fgAcc0">
    <dgm:fillClrLst meth="repeat">
      <a:schemeClr val="lt1">
        <a:alpha val="90000"/>
      </a:schemeClr>
    </dgm:fillClrLst>
    <dgm:linClrLst>
      <a:schemeClr val="accent1"/>
    </dgm:linClrLst>
    <dgm:effectClrLst/>
    <dgm:txLinClrLst/>
    <dgm:txFillClrLst meth="repeat">
      <a:schemeClr val="dk1"/>
    </dgm:txFillClrLst>
    <dgm:txEffectClrLst/>
  </dgm:styleLbl>
  <dgm:styleLbl name="fgAcc2">
    <dgm:fillClrLst meth="repeat">
      <a:schemeClr val="lt1">
        <a:alpha val="90000"/>
      </a:schemeClr>
    </dgm:fillClrLst>
    <dgm:linClrLst>
      <a:schemeClr val="accent2"/>
    </dgm:linClrLst>
    <dgm:effectClrLst/>
    <dgm:txLinClrLst/>
    <dgm:txFillClrLst meth="repeat">
      <a:schemeClr val="dk1"/>
    </dgm:txFillClrLst>
    <dgm:txEffectClrLst/>
  </dgm:styleLbl>
  <dgm:styleLbl name="fgAcc3">
    <dgm:fillClrLst meth="repeat">
      <a:schemeClr val="lt1">
        <a:alpha val="90000"/>
      </a:schemeClr>
    </dgm:fillClrLst>
    <dgm:linClrLst>
      <a:schemeClr val="accent3"/>
    </dgm:linClrLst>
    <dgm:effectClrLst/>
    <dgm:txLinClrLst/>
    <dgm:txFillClrLst meth="repeat">
      <a:schemeClr val="dk1"/>
    </dgm:txFillClrLst>
    <dgm:txEffectClrLst/>
  </dgm:styleLbl>
  <dgm:styleLbl name="fgAcc4">
    <dgm:fillClrLst meth="repeat">
      <a:schemeClr val="lt1">
        <a:alpha val="90000"/>
      </a:schemeClr>
    </dgm:fillClrLst>
    <dgm:linClrLst>
      <a:schemeClr val="accent4"/>
    </dgm:linClrLst>
    <dgm:effectClrLst/>
    <dgm:txLinClrLst/>
    <dgm:txFillClrLst meth="repeat">
      <a:schemeClr val="dk1"/>
    </dgm:txFillClrLst>
    <dgm:txEffectClrLst/>
  </dgm:styleLbl>
  <dgm:styleLbl name="bgShp">
    <dgm:fillClrLst meth="repeat">
      <a:schemeClr val="accent2">
        <a:tint val="40000"/>
      </a:schemeClr>
    </dgm:fillClrLst>
    <dgm:linClrLst meth="repeat">
      <a:schemeClr val="dk1"/>
    </dgm:linClrLst>
    <dgm:effectClrLst/>
    <dgm:txLinClrLst/>
    <dgm:txFillClrLst meth="repeat">
      <a:schemeClr val="dk1"/>
    </dgm:txFillClrLst>
    <dgm:txEffectClrLst/>
  </dgm:styleLbl>
  <dgm:styleLbl name="dkBgShp">
    <dgm:fillClrLst meth="repeat">
      <a:schemeClr val="accent2">
        <a:shade val="90000"/>
      </a:schemeClr>
    </dgm:fillClrLst>
    <dgm:linClrLst meth="repeat">
      <a:schemeClr val="dk1"/>
    </dgm:linClrLst>
    <dgm:effectClrLst/>
    <dgm:txLinClrLst/>
    <dgm:txFillClrLst meth="repeat">
      <a:schemeClr val="lt1"/>
    </dgm:txFillClrLst>
    <dgm:txEffectClrLst/>
  </dgm:styleLbl>
  <dgm:styleLbl name="trBgShp">
    <dgm:fillClrLst meth="repeat">
      <a:schemeClr val="accent1">
        <a:tint val="50000"/>
        <a:alpha val="40000"/>
      </a:schemeClr>
    </dgm:fillClrLst>
    <dgm:linClrLst meth="repeat">
      <a:schemeClr val="accent2"/>
    </dgm:linClrLst>
    <dgm:effectClrLst/>
    <dgm:txLinClrLst/>
    <dgm:txFillClrLst meth="repeat">
      <a:schemeClr val="lt1"/>
    </dgm:txFillClrLst>
    <dgm:txEffectClrLst/>
  </dgm:styleLbl>
  <dgm:styleLbl name="fgShp">
    <dgm:fillClrLst meth="repeat">
      <a:schemeClr val="accent2">
        <a:tint val="40000"/>
      </a:schemeClr>
    </dgm:fillClrLst>
    <dgm:linClrLst meth="repeat">
      <a:schemeClr val="lt1"/>
    </dgm:linClrLst>
    <dgm:effectClrLst/>
    <dgm:txLinClrLst/>
    <dgm:txFillClrLst meth="repeat">
      <a:schemeClr val="dk1"/>
    </dgm:txFillClrLst>
    <dgm:txEffectClrLst/>
  </dgm:styleLbl>
  <dgm:styleLbl name="revTx">
    <dgm:fillClrLst meth="repeat">
      <a:schemeClr val="lt1">
        <a:alpha val="0"/>
      </a:schemeClr>
    </dgm:fillClrLst>
    <dgm:linClrLst meth="repeat">
      <a:schemeClr val="dk1">
        <a:alpha val="0"/>
      </a:schemeClr>
    </dgm:linClrLst>
    <dgm:effectClrLst/>
    <dgm:txLinClrLst/>
    <dgm:txFillClrLst meth="repeat">
      <a:schemeClr val="tx1"/>
    </dgm:txFillClrLst>
    <dgm:txEffectClrLst/>
  </dgm:styleLbl>
</dgm:colorsDef>
</file>

<file path=word/diagrams/data1.xml><?xml version="1.0" encoding="utf-8"?>
<dgm:dataModel xmlns:dgm="http://schemas.openxmlformats.org/drawingml/2006/diagram" xmlns:a="http://schemas.openxmlformats.org/drawingml/2006/main">
  <dgm:ptLst>
    <dgm:pt modelId="{14CC0EFB-576B-4B03-9B77-EF81FF8FB35E}" type="doc">
      <dgm:prSet loTypeId="urn:microsoft.com/office/officeart/2005/8/layout/pyramid1" loCatId="pyramid" qsTypeId="urn:microsoft.com/office/officeart/2005/8/quickstyle/3d2" qsCatId="3D" csTypeId="urn:microsoft.com/office/officeart/2005/8/colors/colorful1#1" csCatId="colorful" phldr="1"/>
      <dgm:spPr/>
    </dgm:pt>
    <dgm:pt modelId="{51605ECB-F496-45DA-971E-B58333597635}">
      <dgm:prSet phldrT="[Text]"/>
      <dgm:spPr/>
      <dgm:t>
        <a:bodyPr/>
        <a:lstStyle/>
        <a:p>
          <a:r>
            <a:rPr lang="en-GB" dirty="0" smtClean="0"/>
            <a:t>Future Goals</a:t>
          </a:r>
          <a:endParaRPr lang="en-GB" dirty="0"/>
        </a:p>
      </dgm:t>
    </dgm:pt>
    <dgm:pt modelId="{855AB11F-D52C-45E2-8578-ABC5857FFBF4}" type="parTrans" cxnId="{81D6553E-36E1-4B73-932F-E72829FD7489}">
      <dgm:prSet/>
      <dgm:spPr/>
      <dgm:t>
        <a:bodyPr/>
        <a:lstStyle/>
        <a:p>
          <a:endParaRPr lang="en-GB"/>
        </a:p>
      </dgm:t>
    </dgm:pt>
    <dgm:pt modelId="{5B6A022E-28C3-4BB9-8532-504877A3CBEA}" type="sibTrans" cxnId="{81D6553E-36E1-4B73-932F-E72829FD7489}">
      <dgm:prSet/>
      <dgm:spPr/>
      <dgm:t>
        <a:bodyPr/>
        <a:lstStyle/>
        <a:p>
          <a:endParaRPr lang="en-GB"/>
        </a:p>
      </dgm:t>
    </dgm:pt>
    <dgm:pt modelId="{A07324AC-E855-493B-8112-D5CC8B8D5C0D}">
      <dgm:prSet phldrT="[Text]"/>
      <dgm:spPr/>
      <dgm:t>
        <a:bodyPr/>
        <a:lstStyle/>
        <a:p>
          <a:r>
            <a:rPr lang="en-GB" dirty="0" smtClean="0"/>
            <a:t>Communication Skills &amp; Conflict Strategies</a:t>
          </a:r>
          <a:endParaRPr lang="en-GB" dirty="0"/>
        </a:p>
      </dgm:t>
    </dgm:pt>
    <dgm:pt modelId="{D4D189B0-B97D-4306-8991-AB4A531B1E05}" type="parTrans" cxnId="{1336A9D0-B572-4012-84C7-7759072884C6}">
      <dgm:prSet/>
      <dgm:spPr/>
      <dgm:t>
        <a:bodyPr/>
        <a:lstStyle/>
        <a:p>
          <a:endParaRPr lang="en-GB"/>
        </a:p>
      </dgm:t>
    </dgm:pt>
    <dgm:pt modelId="{D64068AA-DBCE-4381-B2AE-E7994CBB07AC}" type="sibTrans" cxnId="{1336A9D0-B572-4012-84C7-7759072884C6}">
      <dgm:prSet/>
      <dgm:spPr/>
      <dgm:t>
        <a:bodyPr/>
        <a:lstStyle/>
        <a:p>
          <a:endParaRPr lang="en-GB"/>
        </a:p>
      </dgm:t>
    </dgm:pt>
    <dgm:pt modelId="{DAEE1354-C47B-437B-9777-B648DED83F59}">
      <dgm:prSet phldrT="[Text]"/>
      <dgm:spPr/>
      <dgm:t>
        <a:bodyPr/>
        <a:lstStyle/>
        <a:p>
          <a:r>
            <a:rPr lang="en-GB" dirty="0" smtClean="0"/>
            <a:t>Cognitive and Problem Solving Skills</a:t>
          </a:r>
          <a:endParaRPr lang="en-GB" dirty="0"/>
        </a:p>
      </dgm:t>
    </dgm:pt>
    <dgm:pt modelId="{0B46C35E-9090-40EA-8D9F-EE3C150279E2}" type="parTrans" cxnId="{B584E9C3-C76F-440C-A6E6-FC602642456C}">
      <dgm:prSet/>
      <dgm:spPr/>
      <dgm:t>
        <a:bodyPr/>
        <a:lstStyle/>
        <a:p>
          <a:endParaRPr lang="en-GB"/>
        </a:p>
      </dgm:t>
    </dgm:pt>
    <dgm:pt modelId="{71B19096-DC51-4577-B439-13A2B7756B48}" type="sibTrans" cxnId="{B584E9C3-C76F-440C-A6E6-FC602642456C}">
      <dgm:prSet/>
      <dgm:spPr/>
      <dgm:t>
        <a:bodyPr/>
        <a:lstStyle/>
        <a:p>
          <a:endParaRPr lang="en-GB"/>
        </a:p>
      </dgm:t>
    </dgm:pt>
    <dgm:pt modelId="{9F13AB77-D702-4F80-8C45-4132F46E350C}">
      <dgm:prSet phldrT="[Text]"/>
      <dgm:spPr/>
      <dgm:t>
        <a:bodyPr/>
        <a:lstStyle/>
        <a:p>
          <a:r>
            <a:rPr lang="en-GB" dirty="0" smtClean="0"/>
            <a:t>Self-awareness and Beliefs</a:t>
          </a:r>
          <a:endParaRPr lang="en-GB" dirty="0"/>
        </a:p>
      </dgm:t>
    </dgm:pt>
    <dgm:pt modelId="{1A2A6D4D-FBAA-404F-B891-38DBCAF7D9F8}" type="parTrans" cxnId="{377E9CC5-82E6-4260-9D96-11EC12D5FDA4}">
      <dgm:prSet/>
      <dgm:spPr/>
      <dgm:t>
        <a:bodyPr/>
        <a:lstStyle/>
        <a:p>
          <a:endParaRPr lang="en-GB"/>
        </a:p>
      </dgm:t>
    </dgm:pt>
    <dgm:pt modelId="{312D213F-90A3-4EF8-9615-7157B63756C7}" type="sibTrans" cxnId="{377E9CC5-82E6-4260-9D96-11EC12D5FDA4}">
      <dgm:prSet/>
      <dgm:spPr/>
      <dgm:t>
        <a:bodyPr/>
        <a:lstStyle/>
        <a:p>
          <a:endParaRPr lang="en-GB"/>
        </a:p>
      </dgm:t>
    </dgm:pt>
    <dgm:pt modelId="{E3E4082A-9BC8-426F-B13A-F6E40167367C}" type="pres">
      <dgm:prSet presAssocID="{14CC0EFB-576B-4B03-9B77-EF81FF8FB35E}" presName="Name0" presStyleCnt="0">
        <dgm:presLayoutVars>
          <dgm:dir/>
          <dgm:animLvl val="lvl"/>
          <dgm:resizeHandles val="exact"/>
        </dgm:presLayoutVars>
      </dgm:prSet>
      <dgm:spPr/>
    </dgm:pt>
    <dgm:pt modelId="{00835094-4D81-4FE3-99BD-BD037D9F9BA3}" type="pres">
      <dgm:prSet presAssocID="{51605ECB-F496-45DA-971E-B58333597635}" presName="Name8" presStyleCnt="0"/>
      <dgm:spPr/>
    </dgm:pt>
    <dgm:pt modelId="{A063E355-9AFD-4ED1-8E4B-0B4C8D89D869}" type="pres">
      <dgm:prSet presAssocID="{51605ECB-F496-45DA-971E-B58333597635}" presName="level" presStyleLbl="node1" presStyleIdx="0" presStyleCnt="4">
        <dgm:presLayoutVars>
          <dgm:chMax val="1"/>
          <dgm:bulletEnabled val="1"/>
        </dgm:presLayoutVars>
      </dgm:prSet>
      <dgm:spPr/>
      <dgm:t>
        <a:bodyPr/>
        <a:lstStyle/>
        <a:p>
          <a:endParaRPr lang="en-GB"/>
        </a:p>
      </dgm:t>
    </dgm:pt>
    <dgm:pt modelId="{165AF29B-2556-4657-AE49-76D01CA44D8B}" type="pres">
      <dgm:prSet presAssocID="{51605ECB-F496-45DA-971E-B58333597635}" presName="levelTx" presStyleLbl="revTx" presStyleIdx="0" presStyleCnt="0">
        <dgm:presLayoutVars>
          <dgm:chMax val="1"/>
          <dgm:bulletEnabled val="1"/>
        </dgm:presLayoutVars>
      </dgm:prSet>
      <dgm:spPr/>
      <dgm:t>
        <a:bodyPr/>
        <a:lstStyle/>
        <a:p>
          <a:endParaRPr lang="en-GB"/>
        </a:p>
      </dgm:t>
    </dgm:pt>
    <dgm:pt modelId="{9BB12E4B-0857-4463-8651-770876F520F2}" type="pres">
      <dgm:prSet presAssocID="{A07324AC-E855-493B-8112-D5CC8B8D5C0D}" presName="Name8" presStyleCnt="0"/>
      <dgm:spPr/>
    </dgm:pt>
    <dgm:pt modelId="{B5B919EB-DFE5-44E5-A08A-25966AE38C4F}" type="pres">
      <dgm:prSet presAssocID="{A07324AC-E855-493B-8112-D5CC8B8D5C0D}" presName="level" presStyleLbl="node1" presStyleIdx="1" presStyleCnt="4">
        <dgm:presLayoutVars>
          <dgm:chMax val="1"/>
          <dgm:bulletEnabled val="1"/>
        </dgm:presLayoutVars>
      </dgm:prSet>
      <dgm:spPr/>
      <dgm:t>
        <a:bodyPr/>
        <a:lstStyle/>
        <a:p>
          <a:endParaRPr lang="en-GB"/>
        </a:p>
      </dgm:t>
    </dgm:pt>
    <dgm:pt modelId="{1018E2A0-C4F1-4661-86D1-1B3C3D6FA0AB}" type="pres">
      <dgm:prSet presAssocID="{A07324AC-E855-493B-8112-D5CC8B8D5C0D}" presName="levelTx" presStyleLbl="revTx" presStyleIdx="0" presStyleCnt="0">
        <dgm:presLayoutVars>
          <dgm:chMax val="1"/>
          <dgm:bulletEnabled val="1"/>
        </dgm:presLayoutVars>
      </dgm:prSet>
      <dgm:spPr/>
      <dgm:t>
        <a:bodyPr/>
        <a:lstStyle/>
        <a:p>
          <a:endParaRPr lang="en-GB"/>
        </a:p>
      </dgm:t>
    </dgm:pt>
    <dgm:pt modelId="{0244002D-0D0A-41F8-B9EC-1A6580BB5849}" type="pres">
      <dgm:prSet presAssocID="{DAEE1354-C47B-437B-9777-B648DED83F59}" presName="Name8" presStyleCnt="0"/>
      <dgm:spPr/>
    </dgm:pt>
    <dgm:pt modelId="{197FEDC3-19CA-4961-BDA3-D05204E049FA}" type="pres">
      <dgm:prSet presAssocID="{DAEE1354-C47B-437B-9777-B648DED83F59}" presName="level" presStyleLbl="node1" presStyleIdx="2" presStyleCnt="4">
        <dgm:presLayoutVars>
          <dgm:chMax val="1"/>
          <dgm:bulletEnabled val="1"/>
        </dgm:presLayoutVars>
      </dgm:prSet>
      <dgm:spPr/>
      <dgm:t>
        <a:bodyPr/>
        <a:lstStyle/>
        <a:p>
          <a:endParaRPr lang="en-GB"/>
        </a:p>
      </dgm:t>
    </dgm:pt>
    <dgm:pt modelId="{8D228897-8F44-43F2-A084-F5ABE7E22D46}" type="pres">
      <dgm:prSet presAssocID="{DAEE1354-C47B-437B-9777-B648DED83F59}" presName="levelTx" presStyleLbl="revTx" presStyleIdx="0" presStyleCnt="0">
        <dgm:presLayoutVars>
          <dgm:chMax val="1"/>
          <dgm:bulletEnabled val="1"/>
        </dgm:presLayoutVars>
      </dgm:prSet>
      <dgm:spPr/>
      <dgm:t>
        <a:bodyPr/>
        <a:lstStyle/>
        <a:p>
          <a:endParaRPr lang="en-GB"/>
        </a:p>
      </dgm:t>
    </dgm:pt>
    <dgm:pt modelId="{D0D415AF-FC78-46D8-9464-77A2AE00D5FE}" type="pres">
      <dgm:prSet presAssocID="{9F13AB77-D702-4F80-8C45-4132F46E350C}" presName="Name8" presStyleCnt="0"/>
      <dgm:spPr/>
    </dgm:pt>
    <dgm:pt modelId="{FC27B020-EBE4-4005-83C1-AF0ABA923EAE}" type="pres">
      <dgm:prSet presAssocID="{9F13AB77-D702-4F80-8C45-4132F46E350C}" presName="level" presStyleLbl="node1" presStyleIdx="3" presStyleCnt="4">
        <dgm:presLayoutVars>
          <dgm:chMax val="1"/>
          <dgm:bulletEnabled val="1"/>
        </dgm:presLayoutVars>
      </dgm:prSet>
      <dgm:spPr/>
      <dgm:t>
        <a:bodyPr/>
        <a:lstStyle/>
        <a:p>
          <a:endParaRPr lang="en-GB"/>
        </a:p>
      </dgm:t>
    </dgm:pt>
    <dgm:pt modelId="{C9EA9F4D-8869-41FE-B9C1-4CDFDEC8780D}" type="pres">
      <dgm:prSet presAssocID="{9F13AB77-D702-4F80-8C45-4132F46E350C}" presName="levelTx" presStyleLbl="revTx" presStyleIdx="0" presStyleCnt="0">
        <dgm:presLayoutVars>
          <dgm:chMax val="1"/>
          <dgm:bulletEnabled val="1"/>
        </dgm:presLayoutVars>
      </dgm:prSet>
      <dgm:spPr/>
      <dgm:t>
        <a:bodyPr/>
        <a:lstStyle/>
        <a:p>
          <a:endParaRPr lang="en-GB"/>
        </a:p>
      </dgm:t>
    </dgm:pt>
  </dgm:ptLst>
  <dgm:cxnLst>
    <dgm:cxn modelId="{F1E1E41C-8CF2-4B4E-9593-3A3E1164A2CD}" type="presOf" srcId="{DAEE1354-C47B-437B-9777-B648DED83F59}" destId="{8D228897-8F44-43F2-A084-F5ABE7E22D46}" srcOrd="1" destOrd="0" presId="urn:microsoft.com/office/officeart/2005/8/layout/pyramid1"/>
    <dgm:cxn modelId="{129EECFA-4A5C-4FDF-AB13-E33395637DCE}" type="presOf" srcId="{A07324AC-E855-493B-8112-D5CC8B8D5C0D}" destId="{B5B919EB-DFE5-44E5-A08A-25966AE38C4F}" srcOrd="0" destOrd="0" presId="urn:microsoft.com/office/officeart/2005/8/layout/pyramid1"/>
    <dgm:cxn modelId="{7BB41666-6BA4-431D-8EE4-423FAEC12B35}" type="presOf" srcId="{9F13AB77-D702-4F80-8C45-4132F46E350C}" destId="{C9EA9F4D-8869-41FE-B9C1-4CDFDEC8780D}" srcOrd="1" destOrd="0" presId="urn:microsoft.com/office/officeart/2005/8/layout/pyramid1"/>
    <dgm:cxn modelId="{308BBC57-086D-4582-ACB9-4FF1B08C35DA}" type="presOf" srcId="{51605ECB-F496-45DA-971E-B58333597635}" destId="{A063E355-9AFD-4ED1-8E4B-0B4C8D89D869}" srcOrd="0" destOrd="0" presId="urn:microsoft.com/office/officeart/2005/8/layout/pyramid1"/>
    <dgm:cxn modelId="{B584E9C3-C76F-440C-A6E6-FC602642456C}" srcId="{14CC0EFB-576B-4B03-9B77-EF81FF8FB35E}" destId="{DAEE1354-C47B-437B-9777-B648DED83F59}" srcOrd="2" destOrd="0" parTransId="{0B46C35E-9090-40EA-8D9F-EE3C150279E2}" sibTransId="{71B19096-DC51-4577-B439-13A2B7756B48}"/>
    <dgm:cxn modelId="{72F36E5A-08C6-4C6B-B517-911181126F5E}" type="presOf" srcId="{14CC0EFB-576B-4B03-9B77-EF81FF8FB35E}" destId="{E3E4082A-9BC8-426F-B13A-F6E40167367C}" srcOrd="0" destOrd="0" presId="urn:microsoft.com/office/officeart/2005/8/layout/pyramid1"/>
    <dgm:cxn modelId="{81D6553E-36E1-4B73-932F-E72829FD7489}" srcId="{14CC0EFB-576B-4B03-9B77-EF81FF8FB35E}" destId="{51605ECB-F496-45DA-971E-B58333597635}" srcOrd="0" destOrd="0" parTransId="{855AB11F-D52C-45E2-8578-ABC5857FFBF4}" sibTransId="{5B6A022E-28C3-4BB9-8532-504877A3CBEA}"/>
    <dgm:cxn modelId="{C45A00ED-3AF7-4264-B0D8-90CDD7E02549}" type="presOf" srcId="{A07324AC-E855-493B-8112-D5CC8B8D5C0D}" destId="{1018E2A0-C4F1-4661-86D1-1B3C3D6FA0AB}" srcOrd="1" destOrd="0" presId="urn:microsoft.com/office/officeart/2005/8/layout/pyramid1"/>
    <dgm:cxn modelId="{1336A9D0-B572-4012-84C7-7759072884C6}" srcId="{14CC0EFB-576B-4B03-9B77-EF81FF8FB35E}" destId="{A07324AC-E855-493B-8112-D5CC8B8D5C0D}" srcOrd="1" destOrd="0" parTransId="{D4D189B0-B97D-4306-8991-AB4A531B1E05}" sibTransId="{D64068AA-DBCE-4381-B2AE-E7994CBB07AC}"/>
    <dgm:cxn modelId="{E8F47F56-E51C-41BC-8C53-7CC152959A2C}" type="presOf" srcId="{9F13AB77-D702-4F80-8C45-4132F46E350C}" destId="{FC27B020-EBE4-4005-83C1-AF0ABA923EAE}" srcOrd="0" destOrd="0" presId="urn:microsoft.com/office/officeart/2005/8/layout/pyramid1"/>
    <dgm:cxn modelId="{E89E8CCA-8474-422F-B692-A5BF3EDC4C9B}" type="presOf" srcId="{DAEE1354-C47B-437B-9777-B648DED83F59}" destId="{197FEDC3-19CA-4961-BDA3-D05204E049FA}" srcOrd="0" destOrd="0" presId="urn:microsoft.com/office/officeart/2005/8/layout/pyramid1"/>
    <dgm:cxn modelId="{3AFE4E17-6226-4ABD-8899-549E8746E2FE}" type="presOf" srcId="{51605ECB-F496-45DA-971E-B58333597635}" destId="{165AF29B-2556-4657-AE49-76D01CA44D8B}" srcOrd="1" destOrd="0" presId="urn:microsoft.com/office/officeart/2005/8/layout/pyramid1"/>
    <dgm:cxn modelId="{377E9CC5-82E6-4260-9D96-11EC12D5FDA4}" srcId="{14CC0EFB-576B-4B03-9B77-EF81FF8FB35E}" destId="{9F13AB77-D702-4F80-8C45-4132F46E350C}" srcOrd="3" destOrd="0" parTransId="{1A2A6D4D-FBAA-404F-B891-38DBCAF7D9F8}" sibTransId="{312D213F-90A3-4EF8-9615-7157B63756C7}"/>
    <dgm:cxn modelId="{AE12E78F-9744-4C16-936C-E73F8CD76AAA}" type="presParOf" srcId="{E3E4082A-9BC8-426F-B13A-F6E40167367C}" destId="{00835094-4D81-4FE3-99BD-BD037D9F9BA3}" srcOrd="0" destOrd="0" presId="urn:microsoft.com/office/officeart/2005/8/layout/pyramid1"/>
    <dgm:cxn modelId="{DD783ABD-75EA-45F1-B70F-640C3A6356A4}" type="presParOf" srcId="{00835094-4D81-4FE3-99BD-BD037D9F9BA3}" destId="{A063E355-9AFD-4ED1-8E4B-0B4C8D89D869}" srcOrd="0" destOrd="0" presId="urn:microsoft.com/office/officeart/2005/8/layout/pyramid1"/>
    <dgm:cxn modelId="{88FA0662-B9E7-4171-97F2-107A8A34A9E2}" type="presParOf" srcId="{00835094-4D81-4FE3-99BD-BD037D9F9BA3}" destId="{165AF29B-2556-4657-AE49-76D01CA44D8B}" srcOrd="1" destOrd="0" presId="urn:microsoft.com/office/officeart/2005/8/layout/pyramid1"/>
    <dgm:cxn modelId="{A8F65D77-0C3C-4B97-BF87-A8268076DD90}" type="presParOf" srcId="{E3E4082A-9BC8-426F-B13A-F6E40167367C}" destId="{9BB12E4B-0857-4463-8651-770876F520F2}" srcOrd="1" destOrd="0" presId="urn:microsoft.com/office/officeart/2005/8/layout/pyramid1"/>
    <dgm:cxn modelId="{BBD47F18-D3F9-47D1-AF9A-7E184220B61A}" type="presParOf" srcId="{9BB12E4B-0857-4463-8651-770876F520F2}" destId="{B5B919EB-DFE5-44E5-A08A-25966AE38C4F}" srcOrd="0" destOrd="0" presId="urn:microsoft.com/office/officeart/2005/8/layout/pyramid1"/>
    <dgm:cxn modelId="{540A39B5-4D47-4E1C-AE51-A32B3651FEB8}" type="presParOf" srcId="{9BB12E4B-0857-4463-8651-770876F520F2}" destId="{1018E2A0-C4F1-4661-86D1-1B3C3D6FA0AB}" srcOrd="1" destOrd="0" presId="urn:microsoft.com/office/officeart/2005/8/layout/pyramid1"/>
    <dgm:cxn modelId="{51E604EB-5B03-41C4-8D98-5F5DCC6975BC}" type="presParOf" srcId="{E3E4082A-9BC8-426F-B13A-F6E40167367C}" destId="{0244002D-0D0A-41F8-B9EC-1A6580BB5849}" srcOrd="2" destOrd="0" presId="urn:microsoft.com/office/officeart/2005/8/layout/pyramid1"/>
    <dgm:cxn modelId="{61FEA1E1-D651-4F00-ACFA-94E79B9BF3E9}" type="presParOf" srcId="{0244002D-0D0A-41F8-B9EC-1A6580BB5849}" destId="{197FEDC3-19CA-4961-BDA3-D05204E049FA}" srcOrd="0" destOrd="0" presId="urn:microsoft.com/office/officeart/2005/8/layout/pyramid1"/>
    <dgm:cxn modelId="{9A7BA5D0-A445-4FEA-8C37-E18AE0F47894}" type="presParOf" srcId="{0244002D-0D0A-41F8-B9EC-1A6580BB5849}" destId="{8D228897-8F44-43F2-A084-F5ABE7E22D46}" srcOrd="1" destOrd="0" presId="urn:microsoft.com/office/officeart/2005/8/layout/pyramid1"/>
    <dgm:cxn modelId="{90843C1D-5ADC-47E8-9A5C-447C97F1C28D}" type="presParOf" srcId="{E3E4082A-9BC8-426F-B13A-F6E40167367C}" destId="{D0D415AF-FC78-46D8-9464-77A2AE00D5FE}" srcOrd="3" destOrd="0" presId="urn:microsoft.com/office/officeart/2005/8/layout/pyramid1"/>
    <dgm:cxn modelId="{68A25AB4-2F74-473D-A273-4535630EFAD5}" type="presParOf" srcId="{D0D415AF-FC78-46D8-9464-77A2AE00D5FE}" destId="{FC27B020-EBE4-4005-83C1-AF0ABA923EAE}" srcOrd="0" destOrd="0" presId="urn:microsoft.com/office/officeart/2005/8/layout/pyramid1"/>
    <dgm:cxn modelId="{C1287109-CA20-4767-90AF-696F2C3766CA}" type="presParOf" srcId="{D0D415AF-FC78-46D8-9464-77A2AE00D5FE}" destId="{C9EA9F4D-8869-41FE-B9C1-4CDFDEC8780D}" srcOrd="1" destOrd="0" presId="urn:microsoft.com/office/officeart/2005/8/layout/pyramid1"/>
  </dgm:cxnLst>
  <dgm:bg/>
  <dgm:whole/>
  <dgm:extLst>
    <a:ext uri="http://schemas.microsoft.com/office/drawing/2008/diagram">
      <dsp:dataModelExt xmlns:dsp="http://schemas.microsoft.com/office/drawing/2008/diagram" relId="rId11" minVer="http://schemas.openxmlformats.org/drawingml/2006/diagram"/>
    </a:ext>
  </dgm:extLst>
</dgm:dataModel>
</file>

<file path=word/diagrams/drawing1.xml><?xml version="1.0" encoding="utf-8"?>
<dsp:drawing xmlns:dgm="http://schemas.openxmlformats.org/drawingml/2006/diagram" xmlns:dsp="http://schemas.microsoft.com/office/drawing/2008/diagram" xmlns:a="http://schemas.openxmlformats.org/drawingml/2006/main">
  <dsp:spTree>
    <dsp:nvGrpSpPr>
      <dsp:cNvPr id="0" name=""/>
      <dsp:cNvGrpSpPr/>
    </dsp:nvGrpSpPr>
    <dsp:grpSpPr/>
    <dsp:sp modelId="{A063E355-9AFD-4ED1-8E4B-0B4C8D89D869}">
      <dsp:nvSpPr>
        <dsp:cNvPr id="0" name=""/>
        <dsp:cNvSpPr/>
      </dsp:nvSpPr>
      <dsp:spPr>
        <a:xfrm>
          <a:off x="2137239" y="0"/>
          <a:ext cx="1424826" cy="535849"/>
        </a:xfrm>
        <a:prstGeom prst="trapezoid">
          <a:avLst>
            <a:gd name="adj" fmla="val 132950"/>
          </a:avLst>
        </a:prstGeom>
        <a:gradFill rotWithShape="0">
          <a:gsLst>
            <a:gs pos="0">
              <a:schemeClr val="accent2">
                <a:hueOff val="0"/>
                <a:satOff val="0"/>
                <a:lumOff val="0"/>
                <a:alphaOff val="0"/>
                <a:shade val="51000"/>
                <a:satMod val="130000"/>
              </a:schemeClr>
            </a:gs>
            <a:gs pos="80000">
              <a:schemeClr val="accent2">
                <a:hueOff val="0"/>
                <a:satOff val="0"/>
                <a:lumOff val="0"/>
                <a:alphaOff val="0"/>
                <a:shade val="93000"/>
                <a:satMod val="130000"/>
              </a:schemeClr>
            </a:gs>
            <a:gs pos="100000">
              <a:schemeClr val="accent2">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txBody>
        <a:bodyPr spcFirstLastPara="0" vert="horz" wrap="square" lIns="20320" tIns="20320" rIns="20320" bIns="20320" numCol="1" spcCol="1270" anchor="ctr" anchorCtr="0">
          <a:noAutofit/>
        </a:bodyPr>
        <a:lstStyle/>
        <a:p>
          <a:pPr lvl="0" algn="ctr" defTabSz="711200">
            <a:lnSpc>
              <a:spcPct val="90000"/>
            </a:lnSpc>
            <a:spcBef>
              <a:spcPct val="0"/>
            </a:spcBef>
            <a:spcAft>
              <a:spcPct val="35000"/>
            </a:spcAft>
          </a:pPr>
          <a:r>
            <a:rPr lang="en-GB" sz="1600" kern="1200" dirty="0" smtClean="0"/>
            <a:t>Future Goals</a:t>
          </a:r>
          <a:endParaRPr lang="en-GB" sz="1600" kern="1200" dirty="0"/>
        </a:p>
      </dsp:txBody>
      <dsp:txXfrm>
        <a:off x="2137239" y="0"/>
        <a:ext cx="1424826" cy="535849"/>
      </dsp:txXfrm>
    </dsp:sp>
    <dsp:sp modelId="{B5B919EB-DFE5-44E5-A08A-25966AE38C4F}">
      <dsp:nvSpPr>
        <dsp:cNvPr id="0" name=""/>
        <dsp:cNvSpPr/>
      </dsp:nvSpPr>
      <dsp:spPr>
        <a:xfrm>
          <a:off x="1424826" y="535849"/>
          <a:ext cx="2849653" cy="535849"/>
        </a:xfrm>
        <a:prstGeom prst="trapezoid">
          <a:avLst>
            <a:gd name="adj" fmla="val 132950"/>
          </a:avLst>
        </a:prstGeom>
        <a:gradFill rotWithShape="0">
          <a:gsLst>
            <a:gs pos="0">
              <a:schemeClr val="accent3">
                <a:hueOff val="0"/>
                <a:satOff val="0"/>
                <a:lumOff val="0"/>
                <a:alphaOff val="0"/>
                <a:shade val="51000"/>
                <a:satMod val="130000"/>
              </a:schemeClr>
            </a:gs>
            <a:gs pos="80000">
              <a:schemeClr val="accent3">
                <a:hueOff val="0"/>
                <a:satOff val="0"/>
                <a:lumOff val="0"/>
                <a:alphaOff val="0"/>
                <a:shade val="93000"/>
                <a:satMod val="130000"/>
              </a:schemeClr>
            </a:gs>
            <a:gs pos="100000">
              <a:schemeClr val="accent3">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txBody>
        <a:bodyPr spcFirstLastPara="0" vert="horz" wrap="square" lIns="20320" tIns="20320" rIns="20320" bIns="20320" numCol="1" spcCol="1270" anchor="ctr" anchorCtr="0">
          <a:noAutofit/>
        </a:bodyPr>
        <a:lstStyle/>
        <a:p>
          <a:pPr lvl="0" algn="ctr" defTabSz="711200">
            <a:lnSpc>
              <a:spcPct val="90000"/>
            </a:lnSpc>
            <a:spcBef>
              <a:spcPct val="0"/>
            </a:spcBef>
            <a:spcAft>
              <a:spcPct val="35000"/>
            </a:spcAft>
          </a:pPr>
          <a:r>
            <a:rPr lang="en-GB" sz="1600" kern="1200" dirty="0" smtClean="0"/>
            <a:t>Communication Skills &amp; Conflict Strategies</a:t>
          </a:r>
          <a:endParaRPr lang="en-GB" sz="1600" kern="1200" dirty="0"/>
        </a:p>
      </dsp:txBody>
      <dsp:txXfrm>
        <a:off x="1923515" y="535849"/>
        <a:ext cx="1852274" cy="535849"/>
      </dsp:txXfrm>
    </dsp:sp>
    <dsp:sp modelId="{197FEDC3-19CA-4961-BDA3-D05204E049FA}">
      <dsp:nvSpPr>
        <dsp:cNvPr id="0" name=""/>
        <dsp:cNvSpPr/>
      </dsp:nvSpPr>
      <dsp:spPr>
        <a:xfrm>
          <a:off x="712413" y="1071698"/>
          <a:ext cx="4274479" cy="535849"/>
        </a:xfrm>
        <a:prstGeom prst="trapezoid">
          <a:avLst>
            <a:gd name="adj" fmla="val 132950"/>
          </a:avLst>
        </a:prstGeom>
        <a:gradFill rotWithShape="0">
          <a:gsLst>
            <a:gs pos="0">
              <a:schemeClr val="accent4">
                <a:hueOff val="0"/>
                <a:satOff val="0"/>
                <a:lumOff val="0"/>
                <a:alphaOff val="0"/>
                <a:shade val="51000"/>
                <a:satMod val="130000"/>
              </a:schemeClr>
            </a:gs>
            <a:gs pos="80000">
              <a:schemeClr val="accent4">
                <a:hueOff val="0"/>
                <a:satOff val="0"/>
                <a:lumOff val="0"/>
                <a:alphaOff val="0"/>
                <a:shade val="93000"/>
                <a:satMod val="130000"/>
              </a:schemeClr>
            </a:gs>
            <a:gs pos="100000">
              <a:schemeClr val="accent4">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txBody>
        <a:bodyPr spcFirstLastPara="0" vert="horz" wrap="square" lIns="20320" tIns="20320" rIns="20320" bIns="20320" numCol="1" spcCol="1270" anchor="ctr" anchorCtr="0">
          <a:noAutofit/>
        </a:bodyPr>
        <a:lstStyle/>
        <a:p>
          <a:pPr lvl="0" algn="ctr" defTabSz="711200">
            <a:lnSpc>
              <a:spcPct val="90000"/>
            </a:lnSpc>
            <a:spcBef>
              <a:spcPct val="0"/>
            </a:spcBef>
            <a:spcAft>
              <a:spcPct val="35000"/>
            </a:spcAft>
          </a:pPr>
          <a:r>
            <a:rPr lang="en-GB" sz="1600" kern="1200" dirty="0" smtClean="0"/>
            <a:t>Cognitive and Problem Solving Skills</a:t>
          </a:r>
          <a:endParaRPr lang="en-GB" sz="1600" kern="1200" dirty="0"/>
        </a:p>
      </dsp:txBody>
      <dsp:txXfrm>
        <a:off x="1460447" y="1071698"/>
        <a:ext cx="2778411" cy="535849"/>
      </dsp:txXfrm>
    </dsp:sp>
    <dsp:sp modelId="{FC27B020-EBE4-4005-83C1-AF0ABA923EAE}">
      <dsp:nvSpPr>
        <dsp:cNvPr id="0" name=""/>
        <dsp:cNvSpPr/>
      </dsp:nvSpPr>
      <dsp:spPr>
        <a:xfrm>
          <a:off x="0" y="1607547"/>
          <a:ext cx="5699306" cy="535849"/>
        </a:xfrm>
        <a:prstGeom prst="trapezoid">
          <a:avLst>
            <a:gd name="adj" fmla="val 132950"/>
          </a:avLst>
        </a:prstGeom>
        <a:gradFill rotWithShape="0">
          <a:gsLst>
            <a:gs pos="0">
              <a:schemeClr val="accent5">
                <a:hueOff val="0"/>
                <a:satOff val="0"/>
                <a:lumOff val="0"/>
                <a:alphaOff val="0"/>
                <a:shade val="51000"/>
                <a:satMod val="130000"/>
              </a:schemeClr>
            </a:gs>
            <a:gs pos="80000">
              <a:schemeClr val="accent5">
                <a:hueOff val="0"/>
                <a:satOff val="0"/>
                <a:lumOff val="0"/>
                <a:alphaOff val="0"/>
                <a:shade val="93000"/>
                <a:satMod val="130000"/>
              </a:schemeClr>
            </a:gs>
            <a:gs pos="100000">
              <a:schemeClr val="accent5">
                <a:hueOff val="0"/>
                <a:satOff val="0"/>
                <a:lumOff val="0"/>
                <a:alphaOff val="0"/>
                <a:shade val="94000"/>
                <a:satMod val="135000"/>
              </a:schemeClr>
            </a:gs>
          </a:gsLst>
          <a:lin ang="16200000" scaled="0"/>
        </a:gradFill>
        <a:ln>
          <a:noFill/>
        </a:ln>
        <a:effectLst>
          <a:outerShdw blurRad="40000" dist="23000" dir="5400000" rotWithShape="0">
            <a:srgbClr val="000000">
              <a:alpha val="35000"/>
            </a:srgbClr>
          </a:outerShdw>
        </a:effectLst>
        <a:scene3d>
          <a:camera prst="orthographicFront"/>
          <a:lightRig rig="threePt" dir="t">
            <a:rot lat="0" lon="0" rev="7500000"/>
          </a:lightRig>
        </a:scene3d>
        <a:sp3d prstMaterial="plastic">
          <a:bevelT w="127000" h="25400" prst="relaxedInset"/>
        </a:sp3d>
      </dsp:spPr>
      <dsp:style>
        <a:lnRef idx="0">
          <a:scrgbClr r="0" g="0" b="0"/>
        </a:lnRef>
        <a:fillRef idx="3">
          <a:scrgbClr r="0" g="0" b="0"/>
        </a:fillRef>
        <a:effectRef idx="2">
          <a:scrgbClr r="0" g="0" b="0"/>
        </a:effectRef>
        <a:fontRef idx="minor">
          <a:schemeClr val="lt1"/>
        </a:fontRef>
      </dsp:style>
      <dsp:txBody>
        <a:bodyPr spcFirstLastPara="0" vert="horz" wrap="square" lIns="20320" tIns="20320" rIns="20320" bIns="20320" numCol="1" spcCol="1270" anchor="ctr" anchorCtr="0">
          <a:noAutofit/>
        </a:bodyPr>
        <a:lstStyle/>
        <a:p>
          <a:pPr lvl="0" algn="ctr" defTabSz="711200">
            <a:lnSpc>
              <a:spcPct val="90000"/>
            </a:lnSpc>
            <a:spcBef>
              <a:spcPct val="0"/>
            </a:spcBef>
            <a:spcAft>
              <a:spcPct val="35000"/>
            </a:spcAft>
          </a:pPr>
          <a:r>
            <a:rPr lang="en-GB" sz="1600" kern="1200" dirty="0" smtClean="0"/>
            <a:t>Self-awareness and Beliefs</a:t>
          </a:r>
          <a:endParaRPr lang="en-GB" sz="1600" kern="1200" dirty="0"/>
        </a:p>
      </dsp:txBody>
      <dsp:txXfrm>
        <a:off x="997378" y="1607547"/>
        <a:ext cx="3704548" cy="535849"/>
      </dsp:txXfrm>
    </dsp:sp>
  </dsp:spTree>
</dsp:drawing>
</file>

<file path=word/diagrams/layout1.xml><?xml version="1.0" encoding="utf-8"?>
<dgm:layoutDef xmlns:dgm="http://schemas.openxmlformats.org/drawingml/2006/diagram" xmlns:a="http://schemas.openxmlformats.org/drawingml/2006/main" uniqueId="urn:microsoft.com/office/officeart/2005/8/layout/pyramid1">
  <dgm:title val=""/>
  <dgm:desc val=""/>
  <dgm:catLst>
    <dgm:cat type="pyramid" pri="1000"/>
  </dgm:catLst>
  <dgm:sampData useDef="1">
    <dgm:dataModel>
      <dgm:ptLst/>
      <dgm:bg/>
      <dgm:whole/>
    </dgm:dataModel>
  </dgm:sampData>
  <dgm:styleData>
    <dgm:dataModel>
      <dgm:ptLst>
        <dgm:pt modelId="0" type="doc"/>
        <dgm:pt modelId="1"/>
        <dgm:pt modelId="2"/>
      </dgm:ptLst>
      <dgm:cxnLst>
        <dgm:cxn modelId="3" srcId="0" destId="1" srcOrd="0" destOrd="0"/>
        <dgm:cxn modelId="4" srcId="0" destId="2" srcOrd="1" destOrd="0"/>
      </dgm:cxnLst>
      <dgm:bg/>
      <dgm:whole/>
    </dgm:dataModel>
  </dgm:styleData>
  <dgm:clrData>
    <dgm:dataModel>
      <dgm:ptLst>
        <dgm:pt modelId="0" type="doc"/>
        <dgm:pt modelId="1"/>
        <dgm:pt modelId="2"/>
        <dgm:pt modelId="3"/>
        <dgm:pt modelId="4"/>
      </dgm:ptLst>
      <dgm:cxnLst>
        <dgm:cxn modelId="5" srcId="0" destId="1" srcOrd="0" destOrd="0"/>
        <dgm:cxn modelId="6" srcId="0" destId="2" srcOrd="1" destOrd="0"/>
        <dgm:cxn modelId="7" srcId="0" destId="3" srcOrd="2" destOrd="0"/>
        <dgm:cxn modelId="8" srcId="0" destId="4" srcOrd="3" destOrd="0"/>
      </dgm:cxnLst>
      <dgm:bg/>
      <dgm:whole/>
    </dgm:dataModel>
  </dgm:clrData>
  <dgm:layoutNode name="Name0">
    <dgm:varLst>
      <dgm:dir/>
      <dgm:animLvl val="lvl"/>
      <dgm:resizeHandles val="exact"/>
    </dgm:varLst>
    <dgm:choose name="Name1">
      <dgm:if name="Name2" func="var" arg="dir" op="equ" val="norm">
        <dgm:alg type="pyra">
          <dgm:param type="linDir" val="fromB"/>
          <dgm:param type="txDir" val="fromT"/>
          <dgm:param type="pyraAcctPos" val="aft"/>
          <dgm:param type="pyraAcctTxMar" val="step"/>
          <dgm:param type="pyraAcctBkgdNode" val="acctBkgd"/>
          <dgm:param type="pyraAcctTxNode" val="acctTx"/>
          <dgm:param type="pyraLvlNode" val="level"/>
        </dgm:alg>
      </dgm:if>
      <dgm:else name="Name3">
        <dgm:alg type="pyra">
          <dgm:param type="linDir" val="fromB"/>
          <dgm:param type="txDir" val="fromT"/>
          <dgm:param type="pyraAcctPos" val="bef"/>
          <dgm:param type="pyraAcctTxMar" val="step"/>
          <dgm:param type="pyraAcctBkgdNode" val="acctBkgd"/>
          <dgm:param type="pyraAcctTxNode" val="acctTx"/>
          <dgm:param type="pyraLvlNode" val="level"/>
        </dgm:alg>
      </dgm:else>
    </dgm:choose>
    <dgm:shape xmlns:r="http://schemas.openxmlformats.org/officeDocument/2006/relationships" r:blip="">
      <dgm:adjLst/>
    </dgm:shape>
    <dgm:presOf/>
    <dgm:choose name="Name4">
      <dgm:if name="Name5" axis="root des" ptType="all node" func="maxDepth" op="gte" val="2">
        <dgm:constrLst>
          <dgm:constr type="primFontSz" for="des" forName="levelTx" op="equ"/>
          <dgm:constr type="secFontSz" for="des" forName="acctTx" op="equ"/>
          <dgm:constr type="pyraAcctRatio" val="0.32"/>
        </dgm:constrLst>
      </dgm:if>
      <dgm:else name="Name6">
        <dgm:constrLst>
          <dgm:constr type="primFontSz" for="des" forName="levelTx" op="equ"/>
          <dgm:constr type="secFontSz" for="des" forName="acctTx" op="equ"/>
          <dgm:constr type="pyraAcctRatio"/>
        </dgm:constrLst>
      </dgm:else>
    </dgm:choose>
    <dgm:ruleLst/>
    <dgm:forEach name="Name7" axis="ch" ptType="node">
      <dgm:layoutNode name="Name8">
        <dgm:alg type="composite">
          <dgm:param type="horzAlign" val="none"/>
        </dgm:alg>
        <dgm:shape xmlns:r="http://schemas.openxmlformats.org/officeDocument/2006/relationships" r:blip="">
          <dgm:adjLst/>
        </dgm:shape>
        <dgm:presOf/>
        <dgm:choose name="Name9">
          <dgm:if name="Name10" axis="self" ptType="node" func="pos" op="equ" val="1">
            <dgm:constrLst>
              <dgm:constr type="ctrX" for="ch" forName="acctBkgd" val="1"/>
              <dgm:constr type="ctrY" for="ch" forName="acctBkgd" val="1"/>
              <dgm:constr type="w" for="ch" forName="acctBkgd" val="1"/>
              <dgm:constr type="h" for="ch" forName="acctBkgd" val="1"/>
              <dgm:constr type="ctrX" for="ch" forName="acctTx" val="1"/>
              <dgm:constr type="ctrY" for="ch" forName="acctTx" val="1"/>
              <dgm:constr type="w" for="ch" forName="acctTx" val="1"/>
              <dgm:constr type="h" for="ch" forName="acctTx" val="1"/>
              <dgm:constr type="ctrX" for="ch" forName="level" val="1"/>
              <dgm:constr type="ctrY" for="ch" forName="level" val="1"/>
              <dgm:constr type="w" for="ch" forName="level" val="1"/>
              <dgm:constr type="h" for="ch" forName="level" val="1"/>
              <dgm:constr type="ctrX" for="ch" forName="levelTx" refType="ctrX" refFor="ch" refForName="level"/>
              <dgm:constr type="ctrY" for="ch" forName="levelTx" refType="ctrY" refFor="ch" refForName="level"/>
              <dgm:constr type="w" for="ch" forName="levelTx" refType="w" refFor="ch" refForName="level"/>
              <dgm:constr type="h" for="ch" forName="levelTx" refType="h" refFor="ch" refForName="level"/>
            </dgm:constrLst>
          </dgm:if>
          <dgm:else name="Name11">
            <dgm:constrLst>
              <dgm:constr type="ctrX" for="ch" forName="acctBkgd" val="1"/>
              <dgm:constr type="ctrY" for="ch" forName="acctBkgd" val="1"/>
              <dgm:constr type="w" for="ch" forName="acctBkgd" val="1"/>
              <dgm:constr type="h" for="ch" forName="acctBkgd" val="1"/>
              <dgm:constr type="ctrX" for="ch" forName="acctTx" val="1"/>
              <dgm:constr type="ctrY" for="ch" forName="acctTx" val="1"/>
              <dgm:constr type="w" for="ch" forName="acctTx" val="1"/>
              <dgm:constr type="h" for="ch" forName="acctTx" val="1"/>
              <dgm:constr type="ctrX" for="ch" forName="level" val="1"/>
              <dgm:constr type="ctrY" for="ch" forName="level" val="1"/>
              <dgm:constr type="w" for="ch" forName="level" val="1"/>
              <dgm:constr type="h" for="ch" forName="level" val="1"/>
              <dgm:constr type="ctrX" for="ch" forName="levelTx" refType="ctrX" refFor="ch" refForName="level"/>
              <dgm:constr type="ctrY" for="ch" forName="levelTx" refType="ctrY" refFor="ch" refForName="level"/>
              <dgm:constr type="w" for="ch" forName="levelTx" refType="w" refFor="ch" refForName="level" fact="0.65"/>
              <dgm:constr type="h" for="ch" forName="levelTx" refType="h" refFor="ch" refForName="level"/>
            </dgm:constrLst>
          </dgm:else>
        </dgm:choose>
        <dgm:ruleLst/>
        <dgm:choose name="Name12">
          <dgm:if name="Name13" axis="ch" ptType="node" func="cnt" op="gte" val="1">
            <dgm:layoutNode name="acctBkgd" styleLbl="alignAcc1">
              <dgm:alg type="sp"/>
              <dgm:shape xmlns:r="http://schemas.openxmlformats.org/officeDocument/2006/relationships" type="nonIsoscelesTrapezoid" r:blip="">
                <dgm:adjLst/>
              </dgm:shape>
              <dgm:presOf axis="des" ptType="node"/>
              <dgm:constrLst/>
              <dgm:ruleLst/>
            </dgm:layoutNode>
            <dgm:layoutNode name="acctTx" styleLbl="alignAcc1">
              <dgm:varLst>
                <dgm:bulletEnabled val="1"/>
              </dgm:varLst>
              <dgm:alg type="tx">
                <dgm:param type="stBulletLvl" val="1"/>
                <dgm:param type="txAnchorVertCh" val="mid"/>
              </dgm:alg>
              <dgm:shape xmlns:r="http://schemas.openxmlformats.org/officeDocument/2006/relationships" type="nonIsoscelesTrapezoid" r:blip="" hideGeom="1">
                <dgm:adjLst/>
              </dgm:shape>
              <dgm:presOf axis="des" ptType="node"/>
              <dgm:constrLst>
                <dgm:constr type="secFontSz" val="65"/>
                <dgm:constr type="primFontSz" refType="secFontSz"/>
                <dgm:constr type="tMarg" refType="secFontSz" fact="0.3"/>
                <dgm:constr type="bMarg" refType="secFontSz" fact="0.3"/>
                <dgm:constr type="lMarg" refType="secFontSz" fact="0.3"/>
                <dgm:constr type="rMarg" refType="secFontSz" fact="0.3"/>
              </dgm:constrLst>
              <dgm:ruleLst>
                <dgm:rule type="secFontSz" val="5" fact="NaN" max="NaN"/>
              </dgm:ruleLst>
            </dgm:layoutNode>
          </dgm:if>
          <dgm:else name="Name14"/>
        </dgm:choose>
        <dgm:layoutNode name="level">
          <dgm:varLst>
            <dgm:chMax val="1"/>
            <dgm:bulletEnabled val="1"/>
          </dgm:varLst>
          <dgm:alg type="sp"/>
          <dgm:shape xmlns:r="http://schemas.openxmlformats.org/officeDocument/2006/relationships" type="trapezoid" r:blip="">
            <dgm:adjLst/>
          </dgm:shape>
          <dgm:presOf axis="self"/>
          <dgm:constrLst>
            <dgm:constr type="h" val="500"/>
            <dgm:constr type="w" val="1"/>
          </dgm:constrLst>
          <dgm:ruleLst/>
        </dgm:layoutNode>
        <dgm:layoutNode name="levelTx" styleLbl="revTx">
          <dgm:varLst>
            <dgm:chMax val="1"/>
            <dgm:bulletEnabled val="1"/>
          </dgm:varLst>
          <dgm:alg type="tx"/>
          <dgm:shape xmlns:r="http://schemas.openxmlformats.org/officeDocument/2006/relationships" type="rect" r:blip="" hideGeom="1">
            <dgm:adjLst/>
          </dgm:shape>
          <dgm:presOf axis="self"/>
          <dgm:constrLst>
            <dgm:constr type="tMarg" refType="primFontSz" fact="0.1"/>
            <dgm:constr type="bMarg" refType="primFontSz" fact="0.1"/>
            <dgm:constr type="lMarg" refType="primFontSz" fact="0.1"/>
            <dgm:constr type="rMarg" refType="primFontSz" fact="0.1"/>
            <dgm:constr type="primFontSz" val="65"/>
          </dgm:constrLst>
          <dgm:ruleLst>
            <dgm:rule type="primFontSz" val="5" fact="NaN" max="NaN"/>
          </dgm:ruleLst>
        </dgm:layoutNode>
      </dgm:layoutNode>
    </dgm:forEach>
  </dgm:layoutNode>
</dgm:layoutDef>
</file>

<file path=word/diagrams/quickStyle1.xml><?xml version="1.0" encoding="utf-8"?>
<dgm:styleDef xmlns:dgm="http://schemas.openxmlformats.org/drawingml/2006/diagram" xmlns:a="http://schemas.openxmlformats.org/drawingml/2006/main" uniqueId="urn:microsoft.com/office/officeart/2005/8/quickstyle/3d2">
  <dgm:title val=""/>
  <dgm:desc val=""/>
  <dgm:catLst>
    <dgm:cat type="3D" pri="11200"/>
  </dgm:catLst>
  <dgm:scene3d>
    <a:camera prst="orthographicFront"/>
    <a:lightRig rig="threePt" dir="t"/>
  </dgm:scene3d>
  <dgm:styleLbl name="node0">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lnNode1">
    <dgm:scene3d>
      <a:camera prst="orthographicFront"/>
      <a:lightRig rig="threePt" dir="t">
        <a:rot lat="0" lon="0" rev="7500000"/>
      </a:lightRig>
    </dgm:scene3d>
    <dgm:sp3d prstMaterial="plastic">
      <a:bevelT w="127000" h="25400" prst="relaxedInset"/>
    </dgm:sp3d>
    <dgm:txPr/>
    <dgm:style>
      <a:lnRef idx="1">
        <a:scrgbClr r="0" g="0" b="0"/>
      </a:lnRef>
      <a:fillRef idx="3">
        <a:scrgbClr r="0" g="0" b="0"/>
      </a:fillRef>
      <a:effectRef idx="2">
        <a:scrgbClr r="0" g="0" b="0"/>
      </a:effectRef>
      <a:fontRef idx="minor">
        <a:schemeClr val="lt1"/>
      </a:fontRef>
    </dgm:style>
  </dgm:styleLbl>
  <dgm:styleLbl name="vennNode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tx1"/>
      </a:fontRef>
    </dgm:style>
  </dgm:styleLbl>
  <dgm:styleLbl name="alingNode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2">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3">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node4">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fgImgPlace1">
    <dgm:scene3d>
      <a:camera prst="orthographicFront"/>
      <a:lightRig rig="threePt" dir="t">
        <a:rot lat="0" lon="0" rev="7500000"/>
      </a:lightRig>
    </dgm:scene3d>
    <dgm:sp3d z="152400" extrusionH="63500" prstMaterial="matte">
      <a:bevelT w="50800" h="19050" prst="relaxedInset"/>
      <a:contourClr>
        <a:schemeClr val="bg1"/>
      </a:contourClr>
    </dgm:sp3d>
    <dgm:txPr/>
    <dgm:style>
      <a:lnRef idx="0">
        <a:scrgbClr r="0" g="0" b="0"/>
      </a:lnRef>
      <a:fillRef idx="1">
        <a:scrgbClr r="0" g="0" b="0"/>
      </a:fillRef>
      <a:effectRef idx="0">
        <a:scrgbClr r="0" g="0" b="0"/>
      </a:effectRef>
      <a:fontRef idx="minor"/>
    </dgm:style>
  </dgm:styleLbl>
  <dgm:styleLbl name="alignImgPlace1">
    <dgm:scene3d>
      <a:camera prst="orthographicFront"/>
      <a:lightRig rig="threePt" dir="t">
        <a:rot lat="0" lon="0" rev="7500000"/>
      </a:lightRig>
    </dgm:scene3d>
    <dgm:sp3d z="254000" extrusionH="63500" contourW="12700" prstMaterial="matte">
      <a:contourClr>
        <a:schemeClr val="lt1"/>
      </a:contourClr>
    </dgm:sp3d>
    <dgm:txPr/>
    <dgm:style>
      <a:lnRef idx="0">
        <a:scrgbClr r="0" g="0" b="0"/>
      </a:lnRef>
      <a:fillRef idx="1">
        <a:scrgbClr r="0" g="0" b="0"/>
      </a:fillRef>
      <a:effectRef idx="0">
        <a:scrgbClr r="0" g="0" b="0"/>
      </a:effectRef>
      <a:fontRef idx="minor"/>
    </dgm:style>
  </dgm:styleLbl>
  <dgm:styleLbl name="bgImgPlace1">
    <dgm:scene3d>
      <a:camera prst="orthographicFront"/>
      <a:lightRig rig="threePt" dir="t">
        <a:rot lat="0" lon="0" rev="7500000"/>
      </a:lightRig>
    </dgm:scene3d>
    <dgm:sp3d z="-152400" extrusionH="63500" contourW="12700" prstMaterial="matte">
      <a:contourClr>
        <a:schemeClr val="lt1"/>
      </a:contourClr>
    </dgm:sp3d>
    <dgm:txPr/>
    <dgm:style>
      <a:lnRef idx="0">
        <a:scrgbClr r="0" g="0" b="0"/>
      </a:lnRef>
      <a:fillRef idx="1">
        <a:scrgbClr r="0" g="0" b="0"/>
      </a:fillRef>
      <a:effectRef idx="0">
        <a:scrgbClr r="0" g="0" b="0"/>
      </a:effectRef>
      <a:fontRef idx="minor"/>
    </dgm:style>
  </dgm:styleLbl>
  <dgm:styleLbl name="sibTrans2D1">
    <dgm:scene3d>
      <a:camera prst="orthographicFront"/>
      <a:lightRig rig="threePt" dir="t">
        <a:rot lat="0" lon="0" rev="7500000"/>
      </a:lightRig>
    </dgm:scene3d>
    <dgm:sp3d z="-70000" extrusionH="63500" prstMaterial="matte">
      <a:bevelT w="25400" h="63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fgSibTrans2D1">
    <dgm:scene3d>
      <a:camera prst="orthographicFront"/>
      <a:lightRig rig="threePt" dir="t">
        <a:rot lat="0" lon="0" rev="7500000"/>
      </a:lightRig>
    </dgm:scene3d>
    <dgm:sp3d z="152400" extrusionH="63500" prstMaterial="matte">
      <a:bevelT w="25400" h="63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bgSibTrans2D1">
    <dgm:scene3d>
      <a:camera prst="orthographicFront"/>
      <a:lightRig rig="threePt" dir="t">
        <a:rot lat="0" lon="0" rev="7500000"/>
      </a:lightRig>
    </dgm:scene3d>
    <dgm:sp3d z="-152400" extrusionH="63500" prstMaterial="matte">
      <a:bevelT w="25400" h="63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sibTrans1D1">
    <dgm:scene3d>
      <a:camera prst="orthographicFront"/>
      <a:lightRig rig="threePt" dir="t">
        <a:rot lat="0" lon="0" rev="7500000"/>
      </a:lightRig>
    </dgm:scene3d>
    <dgm:sp3d z="-40000" prstMaterial="matte"/>
    <dgm:txPr/>
    <dgm:style>
      <a:lnRef idx="1">
        <a:scrgbClr r="0" g="0" b="0"/>
      </a:lnRef>
      <a:fillRef idx="0">
        <a:scrgbClr r="0" g="0" b="0"/>
      </a:fillRef>
      <a:effectRef idx="0">
        <a:scrgbClr r="0" g="0" b="0"/>
      </a:effectRef>
      <a:fontRef idx="minor"/>
    </dgm:style>
  </dgm:styleLbl>
  <dgm:styleLbl name="callout">
    <dgm:scene3d>
      <a:camera prst="orthographicFront"/>
      <a:lightRig rig="threePt" dir="t">
        <a:rot lat="0" lon="0" rev="7500000"/>
      </a:lightRig>
    </dgm:scene3d>
    <dgm:sp3d z="127000" prstMaterial="matte"/>
    <dgm:txPr/>
    <dgm:style>
      <a:lnRef idx="2">
        <a:scrgbClr r="0" g="0" b="0"/>
      </a:lnRef>
      <a:fillRef idx="1">
        <a:scrgbClr r="0" g="0" b="0"/>
      </a:fillRef>
      <a:effectRef idx="0">
        <a:scrgbClr r="0" g="0" b="0"/>
      </a:effectRef>
      <a:fontRef idx="minor"/>
    </dgm:style>
  </dgm:styleLbl>
  <dgm:styleLbl name="asst0">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asst1">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asst2">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asst3">
    <dgm:scene3d>
      <a:camera prst="orthographicFront"/>
      <a:lightRig rig="threePt" dir="t">
        <a:rot lat="0" lon="0" rev="7500000"/>
      </a:lightRig>
    </dgm:scene3d>
    <dgm:sp3d prstMaterial="plastic">
      <a:bevelT w="127000" h="25400" prst="relaxedInset"/>
    </dgm:sp3d>
    <dgm:txPr/>
    <dgm:style>
      <a:lnRef idx="0">
        <a:scrgbClr r="0" g="0" b="0"/>
      </a:lnRef>
      <a:fillRef idx="3">
        <a:scrgbClr r="0" g="0" b="0"/>
      </a:fillRef>
      <a:effectRef idx="2">
        <a:scrgbClr r="0" g="0" b="0"/>
      </a:effectRef>
      <a:fontRef idx="minor">
        <a:schemeClr val="lt1"/>
      </a:fontRef>
    </dgm:style>
  </dgm:styleLbl>
  <dgm:styleLbl name="parChTrans2D1">
    <dgm:scene3d>
      <a:camera prst="orthographicFront"/>
      <a:lightRig rig="threePt" dir="t">
        <a:rot lat="0" lon="0" rev="7500000"/>
      </a:lightRig>
    </dgm:scene3d>
    <dgm:sp3d extrusionH="63500" prstMaterial="matte">
      <a:bevelT w="50800" h="190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parChTrans2D2">
    <dgm:scene3d>
      <a:camera prst="orthographicFront"/>
      <a:lightRig rig="threePt" dir="t">
        <a:rot lat="0" lon="0" rev="7500000"/>
      </a:lightRig>
    </dgm:scene3d>
    <dgm:sp3d extrusionH="63500" prstMaterial="matte">
      <a:bevelT w="50800" h="19050" prst="relaxedInset"/>
      <a:contourClr>
        <a:schemeClr val="bg1"/>
      </a:contourClr>
    </dgm:sp3d>
    <dgm:txPr/>
    <dgm:style>
      <a:lnRef idx="0">
        <a:scrgbClr r="0" g="0" b="0"/>
      </a:lnRef>
      <a:fillRef idx="1">
        <a:scrgbClr r="0" g="0" b="0"/>
      </a:fillRef>
      <a:effectRef idx="0">
        <a:scrgbClr r="0" g="0" b="0"/>
      </a:effectRef>
      <a:fontRef idx="minor">
        <a:schemeClr val="lt1"/>
      </a:fontRef>
    </dgm:style>
  </dgm:styleLbl>
  <dgm:styleLbl name="parChTrans2D3">
    <dgm:scene3d>
      <a:camera prst="orthographicFront"/>
      <a:lightRig rig="threePt" dir="t">
        <a:rot lat="0" lon="0" rev="7500000"/>
      </a:lightRig>
    </dgm:scene3d>
    <dgm:sp3d z="60000" prstMaterial="flat">
      <a:bevelT w="120900" h="88900"/>
    </dgm:sp3d>
    <dgm:txPr/>
    <dgm:style>
      <a:lnRef idx="0">
        <a:scrgbClr r="0" g="0" b="0"/>
      </a:lnRef>
      <a:fillRef idx="3">
        <a:scrgbClr r="0" g="0" b="0"/>
      </a:fillRef>
      <a:effectRef idx="1">
        <a:scrgbClr r="0" g="0" b="0"/>
      </a:effectRef>
      <a:fontRef idx="minor">
        <a:schemeClr val="lt1"/>
      </a:fontRef>
    </dgm:style>
  </dgm:styleLbl>
  <dgm:styleLbl name="parChTrans2D4">
    <dgm:scene3d>
      <a:camera prst="orthographicFront"/>
      <a:lightRig rig="threePt" dir="t">
        <a:rot lat="0" lon="0" rev="7500000"/>
      </a:lightRig>
    </dgm:scene3d>
    <dgm:sp3d z="60000" prstMaterial="flat">
      <a:bevelT w="120900" h="88900"/>
    </dgm:sp3d>
    <dgm:txPr/>
    <dgm:style>
      <a:lnRef idx="0">
        <a:scrgbClr r="0" g="0" b="0"/>
      </a:lnRef>
      <a:fillRef idx="3">
        <a:scrgbClr r="0" g="0" b="0"/>
      </a:fillRef>
      <a:effectRef idx="1">
        <a:scrgbClr r="0" g="0" b="0"/>
      </a:effectRef>
      <a:fontRef idx="minor">
        <a:schemeClr val="lt1"/>
      </a:fontRef>
    </dgm:style>
  </dgm:styleLbl>
  <dgm:styleLbl name="parChTrans1D1">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parChTrans1D2">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parChTrans1D3">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parChTrans1D4">
    <dgm:scene3d>
      <a:camera prst="orthographicFront"/>
      <a:lightRig rig="threePt" dir="t">
        <a:rot lat="0" lon="0" rev="7500000"/>
      </a:lightRig>
    </dgm:scene3d>
    <dgm:sp3d z="-40000" prstMaterial="matte"/>
    <dgm:txPr/>
    <dgm:style>
      <a:lnRef idx="2">
        <a:scrgbClr r="0" g="0" b="0"/>
      </a:lnRef>
      <a:fillRef idx="0">
        <a:scrgbClr r="0" g="0" b="0"/>
      </a:fillRef>
      <a:effectRef idx="0">
        <a:scrgbClr r="0" g="0" b="0"/>
      </a:effectRef>
      <a:fontRef idx="minor"/>
    </dgm:style>
  </dgm:styleLbl>
  <dgm:styleLbl name="fgAcc1">
    <dgm:scene3d>
      <a:camera prst="orthographicFront"/>
      <a:lightRig rig="threePt" dir="t">
        <a:rot lat="0" lon="0" rev="7500000"/>
      </a:lightRig>
    </dgm:scene3d>
    <dgm:sp3d z="152400" extrusionH="63500" prstMaterial="dkEdge">
      <a:bevelT w="135400" h="16350" prst="relaxedInset"/>
      <a:contourClr>
        <a:schemeClr val="bg1"/>
      </a:contourClr>
    </dgm:sp3d>
    <dgm:txPr/>
    <dgm:style>
      <a:lnRef idx="1">
        <a:scrgbClr r="0" g="0" b="0"/>
      </a:lnRef>
      <a:fillRef idx="1">
        <a:scrgbClr r="0" g="0" b="0"/>
      </a:fillRef>
      <a:effectRef idx="2">
        <a:scrgbClr r="0" g="0" b="0"/>
      </a:effectRef>
      <a:fontRef idx="minor"/>
    </dgm:style>
  </dgm:styleLbl>
  <dgm:styleLbl name="conFgAcc1">
    <dgm:scene3d>
      <a:camera prst="orthographicFront"/>
      <a:lightRig rig="threePt" dir="t">
        <a:rot lat="0" lon="0" rev="7500000"/>
      </a:lightRig>
    </dgm:scene3d>
    <dgm:sp3d z="152400" extrusionH="63500" prstMaterial="dkEdge">
      <a:bevelT w="135400" h="16350" prst="relaxedInset"/>
      <a:contourClr>
        <a:schemeClr val="bg1"/>
      </a:contourClr>
    </dgm:sp3d>
    <dgm:txPr/>
    <dgm:style>
      <a:lnRef idx="1">
        <a:scrgbClr r="0" g="0" b="0"/>
      </a:lnRef>
      <a:fillRef idx="1">
        <a:scrgbClr r="0" g="0" b="0"/>
      </a:fillRef>
      <a:effectRef idx="2">
        <a:scrgbClr r="0" g="0" b="0"/>
      </a:effectRef>
      <a:fontRef idx="minor"/>
    </dgm:style>
  </dgm:styleLbl>
  <dgm:styleLbl name="alignAcc1">
    <dgm:scene3d>
      <a:camera prst="orthographicFront"/>
      <a:lightRig rig="threePt" dir="t">
        <a:rot lat="0" lon="0" rev="7500000"/>
      </a:lightRig>
    </dgm:scene3d>
    <dgm:sp3d extrusionH="190500" prstMaterial="dkEdge">
      <a:bevelT w="135400" h="16350" prst="relaxedInset"/>
      <a:contourClr>
        <a:schemeClr val="bg1"/>
      </a:contourClr>
    </dgm:sp3d>
    <dgm:txPr/>
    <dgm:style>
      <a:lnRef idx="1">
        <a:scrgbClr r="0" g="0" b="0"/>
      </a:lnRef>
      <a:fillRef idx="1">
        <a:scrgbClr r="0" g="0" b="0"/>
      </a:fillRef>
      <a:effectRef idx="2">
        <a:scrgbClr r="0" g="0" b="0"/>
      </a:effectRef>
      <a:fontRef idx="minor"/>
    </dgm:style>
  </dgm:styleLbl>
  <dgm:styleLbl name="trAlignAcc1">
    <dgm:scene3d>
      <a:camera prst="orthographicFront"/>
      <a:lightRig rig="threePt" dir="t">
        <a:rot lat="0" lon="0" rev="7500000"/>
      </a:lightRig>
    </dgm:scene3d>
    <dgm:sp3d prstMaterial="plastic">
      <a:bevelT w="127000" h="35400"/>
    </dgm:sp3d>
    <dgm:txPr/>
    <dgm:style>
      <a:lnRef idx="1">
        <a:scrgbClr r="0" g="0" b="0"/>
      </a:lnRef>
      <a:fillRef idx="1">
        <a:scrgbClr r="0" g="0" b="0"/>
      </a:fillRef>
      <a:effectRef idx="2">
        <a:scrgbClr r="0" g="0" b="0"/>
      </a:effectRef>
      <a:fontRef idx="minor">
        <a:schemeClr val="lt1"/>
      </a:fontRef>
    </dgm:style>
  </dgm:styleLbl>
  <dgm:styleLbl name="bgAcc1">
    <dgm:scene3d>
      <a:camera prst="orthographicFront"/>
      <a:lightRig rig="threePt" dir="t">
        <a:rot lat="0" lon="0" rev="7500000"/>
      </a:lightRig>
    </dgm:scene3d>
    <dgm:sp3d z="-152400" extrusionH="63500" prstMaterial="dkEdge">
      <a:bevelT w="124450" h="16350" prst="relaxedInset"/>
      <a:contourClr>
        <a:schemeClr val="bg1"/>
      </a:contourClr>
    </dgm:sp3d>
    <dgm:txPr/>
    <dgm:style>
      <a:lnRef idx="1">
        <a:scrgbClr r="0" g="0" b="0"/>
      </a:lnRef>
      <a:fillRef idx="1">
        <a:scrgbClr r="0" g="0" b="0"/>
      </a:fillRef>
      <a:effectRef idx="0">
        <a:scrgbClr r="0" g="0" b="0"/>
      </a:effectRef>
      <a:fontRef idx="minor"/>
    </dgm:style>
  </dgm:styleLbl>
  <dgm:styleLbl name="solidFgAcc1">
    <dgm:scene3d>
      <a:camera prst="orthographicFront"/>
      <a:lightRig rig="threePt" dir="t">
        <a:rot lat="0" lon="0" rev="7500000"/>
      </a:lightRig>
    </dgm:scene3d>
    <dgm:sp3d z="152400" extrusionH="63500" prstMaterial="dkEdge">
      <a:bevelT w="120800" h="19050" prst="relaxedInset"/>
      <a:contourClr>
        <a:schemeClr val="bg1"/>
      </a:contourClr>
    </dgm:sp3d>
    <dgm:txPr/>
    <dgm:style>
      <a:lnRef idx="1">
        <a:scrgbClr r="0" g="0" b="0"/>
      </a:lnRef>
      <a:fillRef idx="1">
        <a:scrgbClr r="0" g="0" b="0"/>
      </a:fillRef>
      <a:effectRef idx="2">
        <a:scrgbClr r="0" g="0" b="0"/>
      </a:effectRef>
      <a:fontRef idx="minor"/>
    </dgm:style>
  </dgm:styleLbl>
  <dgm:styleLbl name="solidAlignAcc1">
    <dgm:scene3d>
      <a:camera prst="orthographicFront"/>
      <a:lightRig rig="threePt" dir="t">
        <a:rot lat="0" lon="0" rev="7500000"/>
      </a:lightRig>
    </dgm:scene3d>
    <dgm:sp3d extrusionH="190500" prstMaterial="dkEdge">
      <a:bevelT w="120650" h="38100" prst="relaxedInset"/>
      <a:contourClr>
        <a:schemeClr val="bg1"/>
      </a:contourClr>
    </dgm:sp3d>
    <dgm:txPr/>
    <dgm:style>
      <a:lnRef idx="1">
        <a:scrgbClr r="0" g="0" b="0"/>
      </a:lnRef>
      <a:fillRef idx="1">
        <a:scrgbClr r="0" g="0" b="0"/>
      </a:fillRef>
      <a:effectRef idx="2">
        <a:scrgbClr r="0" g="0" b="0"/>
      </a:effectRef>
      <a:fontRef idx="minor"/>
    </dgm:style>
  </dgm:styleLbl>
  <dgm:styleLbl name="solidBgAcc1">
    <dgm:scene3d>
      <a:camera prst="orthographicFront"/>
      <a:lightRig rig="threePt" dir="t">
        <a:rot lat="0" lon="0" rev="7500000"/>
      </a:lightRig>
    </dgm:scene3d>
    <dgm:sp3d z="-152400" extrusionH="63500" prstMaterial="dkEdge">
      <a:bevelT w="144450" h="36350" prst="relaxedInset"/>
      <a:contourClr>
        <a:schemeClr val="bg1"/>
      </a:contourClr>
    </dgm:sp3d>
    <dgm:txPr/>
    <dgm:style>
      <a:lnRef idx="1">
        <a:scrgbClr r="0" g="0" b="0"/>
      </a:lnRef>
      <a:fillRef idx="1">
        <a:scrgbClr r="0" g="0" b="0"/>
      </a:fillRef>
      <a:effectRef idx="0">
        <a:scrgbClr r="0" g="0" b="0"/>
      </a:effectRef>
      <a:fontRef idx="minor"/>
    </dgm:style>
  </dgm:styleLbl>
  <dgm:styleLbl name="fgAccFollowNode1">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0">
        <a:scrgbClr r="0" g="0" b="0"/>
      </a:effectRef>
      <a:fontRef idx="minor"/>
    </dgm:style>
  </dgm:styleLbl>
  <dgm:styleLbl name="alignAccFollowNode1">
    <dgm:scene3d>
      <a:camera prst="orthographicFront"/>
      <a:lightRig rig="threePt" dir="t">
        <a:rot lat="0" lon="0" rev="7500000"/>
      </a:lightRig>
    </dgm:scene3d>
    <dgm:sp3d extrusionH="190500" prstMaterial="dkEdge">
      <a:bevelT w="120650" h="38100" prst="relaxedInset"/>
      <a:bevelB w="120650" h="57150" prst="relaxedInset"/>
      <a:contourClr>
        <a:schemeClr val="bg1"/>
      </a:contourClr>
    </dgm:sp3d>
    <dgm:txPr/>
    <dgm:style>
      <a:lnRef idx="1">
        <a:scrgbClr r="0" g="0" b="0"/>
      </a:lnRef>
      <a:fillRef idx="1">
        <a:scrgbClr r="0" g="0" b="0"/>
      </a:fillRef>
      <a:effectRef idx="2">
        <a:scrgbClr r="0" g="0" b="0"/>
      </a:effectRef>
      <a:fontRef idx="minor"/>
    </dgm:style>
  </dgm:styleLbl>
  <dgm:styleLbl name="bgAccFollowNode1">
    <dgm:scene3d>
      <a:camera prst="orthographicFront"/>
      <a:lightRig rig="threePt" dir="t">
        <a:rot lat="0" lon="0" rev="7500000"/>
      </a:lightRig>
    </dgm:scene3d>
    <dgm:sp3d z="-152400" extrusionH="63500" prstMaterial="dkEdge">
      <a:bevelT w="144450" h="36350" prst="relaxedInset"/>
      <a:contourClr>
        <a:schemeClr val="bg1"/>
      </a:contourClr>
    </dgm:sp3d>
    <dgm:txPr/>
    <dgm:style>
      <a:lnRef idx="1">
        <a:scrgbClr r="0" g="0" b="0"/>
      </a:lnRef>
      <a:fillRef idx="1">
        <a:scrgbClr r="0" g="0" b="0"/>
      </a:fillRef>
      <a:effectRef idx="2">
        <a:scrgbClr r="0" g="0" b="0"/>
      </a:effectRef>
      <a:fontRef idx="minor"/>
    </dgm:style>
  </dgm:styleLbl>
  <dgm:styleLbl name="fgAcc0">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fgAcc2">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fgAcc3">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fgAcc4">
    <dgm:scene3d>
      <a:camera prst="orthographicFront"/>
      <a:lightRig rig="threePt" dir="t">
        <a:rot lat="0" lon="0" rev="7500000"/>
      </a:lightRig>
    </dgm:scene3d>
    <dgm:sp3d z="152400" extrusionH="63500" prstMaterial="dkEdge">
      <a:bevelT w="125400" h="36350" prst="relaxedInset"/>
      <a:contourClr>
        <a:schemeClr val="bg1"/>
      </a:contourClr>
    </dgm:sp3d>
    <dgm:txPr/>
    <dgm:style>
      <a:lnRef idx="1">
        <a:scrgbClr r="0" g="0" b="0"/>
      </a:lnRef>
      <a:fillRef idx="1">
        <a:scrgbClr r="0" g="0" b="0"/>
      </a:fillRef>
      <a:effectRef idx="2">
        <a:scrgbClr r="0" g="0" b="0"/>
      </a:effectRef>
      <a:fontRef idx="minor"/>
    </dgm:style>
  </dgm:styleLbl>
  <dgm:styleLbl name="bgShp">
    <dgm:scene3d>
      <a:camera prst="orthographicFront"/>
      <a:lightRig rig="threePt" dir="t">
        <a:rot lat="0" lon="0" rev="7500000"/>
      </a:lightRig>
    </dgm:scene3d>
    <dgm:sp3d z="-152400" extrusionH="63500" prstMaterial="matte">
      <a:bevelT w="144450" h="6350" prst="relaxedInset"/>
      <a:contourClr>
        <a:schemeClr val="bg1"/>
      </a:contourClr>
    </dgm:sp3d>
    <dgm:txPr/>
    <dgm:style>
      <a:lnRef idx="0">
        <a:scrgbClr r="0" g="0" b="0"/>
      </a:lnRef>
      <a:fillRef idx="3">
        <a:scrgbClr r="0" g="0" b="0"/>
      </a:fillRef>
      <a:effectRef idx="0">
        <a:scrgbClr r="0" g="0" b="0"/>
      </a:effectRef>
      <a:fontRef idx="minor"/>
    </dgm:style>
  </dgm:styleLbl>
  <dgm:styleLbl name="dkBgShp">
    <dgm:scene3d>
      <a:camera prst="orthographicFront"/>
      <a:lightRig rig="threePt" dir="t">
        <a:rot lat="0" lon="0" rev="7500000"/>
      </a:lightRig>
    </dgm:scene3d>
    <dgm:sp3d prstMaterial="plastic">
      <a:bevelT w="127000" h="25400" prst="relaxedInset"/>
      <a:bevelB w="88900" h="121750" prst="angle"/>
    </dgm:sp3d>
    <dgm:txPr/>
    <dgm:style>
      <a:lnRef idx="0">
        <a:scrgbClr r="0" g="0" b="0"/>
      </a:lnRef>
      <a:fillRef idx="1">
        <a:scrgbClr r="0" g="0" b="0"/>
      </a:fillRef>
      <a:effectRef idx="2">
        <a:scrgbClr r="0" g="0" b="0"/>
      </a:effectRef>
      <a:fontRef idx="minor">
        <a:schemeClr val="lt1"/>
      </a:fontRef>
    </dgm:style>
  </dgm:styleLbl>
  <dgm:styleLbl name="trBgShp">
    <dgm:scene3d>
      <a:camera prst="orthographicFront"/>
      <a:lightRig rig="threePt" dir="t"/>
    </dgm:scene3d>
    <dgm:sp3d z="-152400" prstMaterial="matte"/>
    <dgm:txPr/>
    <dgm:style>
      <a:lnRef idx="0">
        <a:scrgbClr r="0" g="0" b="0"/>
      </a:lnRef>
      <a:fillRef idx="1">
        <a:scrgbClr r="0" g="0" b="0"/>
      </a:fillRef>
      <a:effectRef idx="0">
        <a:scrgbClr r="0" g="0" b="0"/>
      </a:effectRef>
      <a:fontRef idx="minor"/>
    </dgm:style>
  </dgm:styleLbl>
  <dgm:styleLbl name="fgShp">
    <dgm:scene3d>
      <a:camera prst="orthographicFront"/>
      <a:lightRig rig="threePt" dir="t">
        <a:rot lat="0" lon="0" rev="7500000"/>
      </a:lightRig>
    </dgm:scene3d>
    <dgm:sp3d z="152400" extrusionH="63500" prstMaterial="matte">
      <a:bevelT w="50800" h="19050" prst="relaxedInset"/>
      <a:contourClr>
        <a:schemeClr val="bg1"/>
      </a:contourClr>
    </dgm:sp3d>
    <dgm:txPr/>
    <dgm:style>
      <a:lnRef idx="0">
        <a:scrgbClr r="0" g="0" b="0"/>
      </a:lnRef>
      <a:fillRef idx="1">
        <a:scrgbClr r="0" g="0" b="0"/>
      </a:fillRef>
      <a:effectRef idx="2">
        <a:scrgbClr r="0" g="0" b="0"/>
      </a:effectRef>
      <a:fontRef idx="minor">
        <a:schemeClr val="lt1"/>
      </a:fontRef>
    </dgm:style>
  </dgm:styleLbl>
  <dgm:styleLbl name="revTx">
    <dgm:scene3d>
      <a:camera prst="orthographicFront"/>
      <a:lightRig rig="threePt" dir="t"/>
    </dgm:scene3d>
    <dgm:sp3d/>
    <dgm:txPr/>
    <dgm:style>
      <a:lnRef idx="0">
        <a:scrgbClr r="0" g="0" b="0"/>
      </a:lnRef>
      <a:fillRef idx="0">
        <a:scrgbClr r="0" g="0" b="0"/>
      </a:fillRef>
      <a:effectRef idx="0">
        <a:scrgbClr r="0" g="0" b="0"/>
      </a:effectRef>
      <a:fontRef idx="minor"/>
    </dgm:style>
  </dgm:styleLbl>
</dgm:styleDef>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4" Type="http://schemas.openxmlformats.org/officeDocument/2006/relationships/webSettings" Target="webSettings.xml"/><Relationship Id="rId5" Type="http://schemas.openxmlformats.org/officeDocument/2006/relationships/fontTable" Target="fontTable.xml"/><Relationship Id="rId1" Type="http://schemas.openxmlformats.org/officeDocument/2006/relationships/styles" Target="styles.xml"/><Relationship Id="rId2" Type="http://schemas.microsoft.com/office/2007/relationships/stylesWithEffects" Target="stylesWithEffects.xml"/></Relationships>
</file>

<file path=word/glossary/document.xml><?xml version="1.0" encoding="utf-8"?>
<w:glossary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8E86649130964A9BB1566DAA5FE8767E"/>
        <w:category>
          <w:name w:val="General"/>
          <w:gallery w:val="placeholder"/>
        </w:category>
        <w:types>
          <w:type w:val="bbPlcHdr"/>
        </w:types>
        <w:behaviors>
          <w:behavior w:val="content"/>
        </w:behaviors>
        <w:guid w:val="{48D3C3FE-645C-4967-8BF8-34C7DF3FCDAE}"/>
      </w:docPartPr>
      <w:docPartBody>
        <w:p w:rsidR="00CB63B9" w:rsidRDefault="00F10562" w:rsidP="00F10562">
          <w:pPr>
            <w:pStyle w:val="8E86649130964A9BB1566DAA5FE8767E"/>
          </w:pPr>
          <w:r>
            <w:rPr>
              <w:rFonts w:asciiTheme="majorHAnsi" w:eastAsiaTheme="majorEastAsia" w:hAnsiTheme="majorHAnsi" w:cstheme="majorBidi"/>
              <w:caps/>
            </w:rPr>
            <w:t>[Type the company name]</w:t>
          </w:r>
        </w:p>
      </w:docPartBody>
    </w:docPart>
    <w:docPart>
      <w:docPartPr>
        <w:name w:val="E5D83DFE8DB143E4855BE07EBE48501D"/>
        <w:category>
          <w:name w:val="General"/>
          <w:gallery w:val="placeholder"/>
        </w:category>
        <w:types>
          <w:type w:val="bbPlcHdr"/>
        </w:types>
        <w:behaviors>
          <w:behavior w:val="content"/>
        </w:behaviors>
        <w:guid w:val="{F07F19DA-BD4C-4529-A77E-172E8F266270}"/>
      </w:docPartPr>
      <w:docPartBody>
        <w:p w:rsidR="00CB63B9" w:rsidRDefault="00F10562" w:rsidP="00F10562">
          <w:pPr>
            <w:pStyle w:val="E5D83DFE8DB143E4855BE07EBE48501D"/>
          </w:pPr>
          <w:r>
            <w:rPr>
              <w:rFonts w:asciiTheme="majorHAnsi" w:eastAsiaTheme="majorEastAsia" w:hAnsiTheme="majorHAnsi" w:cstheme="majorBidi"/>
              <w:sz w:val="80"/>
              <w:szCs w:val="80"/>
            </w:rPr>
            <w:t>[Type the document title]</w:t>
          </w:r>
        </w:p>
      </w:docPartBody>
    </w:docPart>
    <w:docPart>
      <w:docPartPr>
        <w:name w:val="92F6A1D763674A26B3EA75579BD2D703"/>
        <w:category>
          <w:name w:val="General"/>
          <w:gallery w:val="placeholder"/>
        </w:category>
        <w:types>
          <w:type w:val="bbPlcHdr"/>
        </w:types>
        <w:behaviors>
          <w:behavior w:val="content"/>
        </w:behaviors>
        <w:guid w:val="{9351F1DE-F1EF-4464-A3DC-794457EF0F95}"/>
      </w:docPartPr>
      <w:docPartBody>
        <w:p w:rsidR="00CB63B9" w:rsidRDefault="00F10562" w:rsidP="00F10562">
          <w:pPr>
            <w:pStyle w:val="92F6A1D763674A26B3EA75579BD2D703"/>
          </w:pPr>
          <w:r>
            <w:rPr>
              <w:rFonts w:asciiTheme="majorHAnsi" w:eastAsiaTheme="majorEastAsia" w:hAnsiTheme="majorHAnsi" w:cstheme="majorBidi"/>
              <w:sz w:val="44"/>
              <w:szCs w:val="44"/>
            </w:rPr>
            <w:t>[Type the document subtitle]</w:t>
          </w:r>
        </w:p>
      </w:docPartBody>
    </w:docPart>
    <w:docPart>
      <w:docPartPr>
        <w:name w:val="50B3A954310D44D2A5AA771EEF43947E"/>
        <w:category>
          <w:name w:val="General"/>
          <w:gallery w:val="placeholder"/>
        </w:category>
        <w:types>
          <w:type w:val="bbPlcHdr"/>
        </w:types>
        <w:behaviors>
          <w:behavior w:val="content"/>
        </w:behaviors>
        <w:guid w:val="{400CF1F6-A5D8-4478-8C60-BF759CD89C34}"/>
      </w:docPartPr>
      <w:docPartBody>
        <w:p w:rsidR="00CB63B9" w:rsidRDefault="00F10562" w:rsidP="00F10562">
          <w:pPr>
            <w:pStyle w:val="50B3A954310D44D2A5AA771EEF43947E"/>
          </w:pPr>
          <w:r>
            <w:rPr>
              <w:b/>
              <w:bCs/>
            </w:rPr>
            <w:t>[Type the author name]</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0000000000000000000"/>
    <w:charset w:val="02"/>
    <w:family w:val="auto"/>
    <w:pitch w:val="variable"/>
    <w:sig w:usb0="00000000" w:usb1="10000000" w:usb2="00000000" w:usb3="00000000" w:csb0="80000000" w:csb1="00000000"/>
  </w:font>
  <w:font w:name="Times New Roman">
    <w:panose1 w:val="02020603050405020304"/>
    <w:charset w:val="00"/>
    <w:family w:val="auto"/>
    <w:pitch w:val="variable"/>
    <w:sig w:usb0="E0002AFF" w:usb1="C0007841" w:usb2="00000009" w:usb3="00000000" w:csb0="000001FF" w:csb1="00000000"/>
  </w:font>
  <w:font w:name="Courier New">
    <w:panose1 w:val="02070309020205020404"/>
    <w:charset w:val="00"/>
    <w:family w:val="auto"/>
    <w:pitch w:val="variable"/>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auto"/>
    <w:pitch w:val="variable"/>
    <w:sig w:usb0="E10002FF" w:usb1="4000ACFF" w:usb2="00000009" w:usb3="00000000" w:csb0="0000019F" w:csb1="00000000"/>
  </w:font>
  <w:font w:name="Tahoma">
    <w:panose1 w:val="020B0604030504040204"/>
    <w:charset w:val="00"/>
    <w:family w:val="auto"/>
    <w:pitch w:val="variable"/>
    <w:sig w:usb0="E1002AFF" w:usb1="C000605B" w:usb2="00000029" w:usb3="00000000" w:csb0="000101FF" w:csb1="00000000"/>
  </w:font>
  <w:font w:name="ＭＳ 明朝">
    <w:charset w:val="4E"/>
    <w:family w:val="auto"/>
    <w:pitch w:val="variable"/>
    <w:sig w:usb0="E00002FF" w:usb1="6AC7FDFB" w:usb2="00000012" w:usb3="00000000" w:csb0="0002009F" w:csb1="00000000"/>
  </w:font>
  <w:font w:name="Arial">
    <w:panose1 w:val="020B0604020202020204"/>
    <w:charset w:val="00"/>
    <w:family w:val="auto"/>
    <w:pitch w:val="variable"/>
    <w:sig w:usb0="E0002AFF" w:usb1="C0007843" w:usb2="00000009" w:usb3="00000000" w:csb0="000001FF" w:csb1="00000000"/>
  </w:font>
  <w:font w:name="Cambria">
    <w:panose1 w:val="02040503050406030204"/>
    <w:charset w:val="00"/>
    <w:family w:val="auto"/>
    <w:pitch w:val="variable"/>
    <w:sig w:usb0="E00002FF" w:usb1="400004FF" w:usb2="00000000" w:usb3="00000000" w:csb0="0000019F" w:csb1="00000000"/>
  </w:font>
  <w:font w:name="ＭＳ ゴシック">
    <w:charset w:val="4E"/>
    <w:family w:val="auto"/>
    <w:pitch w:val="variable"/>
    <w:sig w:usb0="E00002FF" w:usb1="6AC7FDFB" w:usb2="00000012" w:usb3="00000000" w:csb0="000200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F10562"/>
    <w:rsid w:val="00601634"/>
    <w:rsid w:val="00CB63B9"/>
    <w:rsid w:val="00F10562"/>
  </w:rsids>
  <m:mathPr>
    <m:mathFont m:val="Cambria Math"/>
    <m:brkBin m:val="before"/>
    <m:brkBinSub m:val="--"/>
    <m:smallFrac m:val="0"/>
    <m:dispDef/>
    <m:lMargin m:val="0"/>
    <m:rMargin m:val="0"/>
    <m:defJc m:val="centerGroup"/>
    <m:wrapIndent m:val="1440"/>
    <m:intLim m:val="subSup"/>
    <m:naryLim m:val="undOvr"/>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8E86649130964A9BB1566DAA5FE8767E">
    <w:name w:val="8E86649130964A9BB1566DAA5FE8767E"/>
    <w:rsid w:val="00F10562"/>
  </w:style>
  <w:style w:type="paragraph" w:customStyle="1" w:styleId="E5D83DFE8DB143E4855BE07EBE48501D">
    <w:name w:val="E5D83DFE8DB143E4855BE07EBE48501D"/>
    <w:rsid w:val="00F10562"/>
  </w:style>
  <w:style w:type="paragraph" w:customStyle="1" w:styleId="92F6A1D763674A26B3EA75579BD2D703">
    <w:name w:val="92F6A1D763674A26B3EA75579BD2D703"/>
    <w:rsid w:val="00F10562"/>
  </w:style>
  <w:style w:type="paragraph" w:customStyle="1" w:styleId="50B3A954310D44D2A5AA771EEF43947E">
    <w:name w:val="50B3A954310D44D2A5AA771EEF43947E"/>
    <w:rsid w:val="00F10562"/>
  </w:style>
</w:styles>
</file>

<file path=word/glossary/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GB" w:eastAsia="en-GB" w:bidi="ar-SA"/>
      </w:rPr>
    </w:rPrDefault>
    <w:pPrDefault>
      <w:pPr>
        <w:spacing w:after="200" w:line="276" w:lineRule="auto"/>
      </w:pPr>
    </w:pPrDefault>
  </w:docDefaults>
  <w:latentStyles w:defLockedState="0" w:defUIPriority="99" w:defSemiHidden="1" w:defUnhideWhenUsed="1" w:defQFormat="0" w:count="276">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8E86649130964A9BB1566DAA5FE8767E">
    <w:name w:val="8E86649130964A9BB1566DAA5FE8767E"/>
    <w:rsid w:val="00F10562"/>
  </w:style>
  <w:style w:type="paragraph" w:customStyle="1" w:styleId="E5D83DFE8DB143E4855BE07EBE48501D">
    <w:name w:val="E5D83DFE8DB143E4855BE07EBE48501D"/>
    <w:rsid w:val="00F10562"/>
  </w:style>
  <w:style w:type="paragraph" w:customStyle="1" w:styleId="92F6A1D763674A26B3EA75579BD2D703">
    <w:name w:val="92F6A1D763674A26B3EA75579BD2D703"/>
    <w:rsid w:val="00F10562"/>
  </w:style>
  <w:style w:type="paragraph" w:customStyle="1" w:styleId="50B3A954310D44D2A5AA771EEF43947E">
    <w:name w:val="50B3A954310D44D2A5AA771EEF43947E"/>
    <w:rsid w:val="00F10562"/>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doNotSaveAsSingleFile/>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3</TotalTime>
  <Pages>6</Pages>
  <Words>2451</Words>
  <Characters>13973</Characters>
  <Application>Microsoft Macintosh Word</Application>
  <DocSecurity>0</DocSecurity>
  <Lines>116</Lines>
  <Paragraphs>32</Paragraphs>
  <ScaleCrop>false</ScaleCrop>
  <Company>Protagoras forensic services &amp; interventions ltd.</Company>
  <LinksUpToDate>false</LinksUpToDate>
  <CharactersWithSpaces>16392</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Healthy Relationship Programmes for C/YP:</dc:title>
  <dc:subject>Changing Places &amp; Acorns</dc:subject>
  <dc:creator>Emily Alison</dc:creator>
  <cp:lastModifiedBy>Helen Bonnick</cp:lastModifiedBy>
  <cp:revision>2</cp:revision>
  <dcterms:created xsi:type="dcterms:W3CDTF">2014-11-03T15:26:00Z</dcterms:created>
  <dcterms:modified xsi:type="dcterms:W3CDTF">2014-11-03T15:26:00Z</dcterms:modified>
</cp:coreProperties>
</file>